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5DC" w:rsidRPr="005F4475" w:rsidRDefault="00681DC0" w:rsidP="00CB53F1">
      <w:pPr>
        <w:jc w:val="both"/>
      </w:pPr>
      <w:r>
        <w:rPr>
          <w:noProof/>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7.05pt;margin-top:.35pt;width:33.3pt;height:40.3pt;z-index:251659264" o:allowincell="f">
            <v:imagedata r:id="rId7" o:title=""/>
            <w10:wrap type="topAndBottom"/>
          </v:shape>
          <o:OLEObject Type="Embed" ProgID="MS_ClipArt_Gallery" ShapeID="_x0000_s1027" DrawAspect="Content" ObjectID="_1782037361" r:id="rId8"/>
        </w:object>
      </w:r>
      <w:r w:rsidR="001B45DC" w:rsidRPr="005F4475">
        <w:t>REPUBLIKA HRVATSKA</w:t>
      </w:r>
    </w:p>
    <w:p w:rsidR="001B45DC" w:rsidRPr="00C40F32" w:rsidRDefault="001B45DC" w:rsidP="001B45DC">
      <w:pPr>
        <w:ind w:right="-1391"/>
        <w:contextualSpacing/>
        <w:jc w:val="both"/>
      </w:pPr>
      <w:r w:rsidRPr="00C40F32">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6350</wp:posOffset>
            </wp:positionV>
            <wp:extent cx="424180" cy="554990"/>
            <wp:effectExtent l="0" t="0" r="0" b="0"/>
            <wp:wrapTight wrapText="bothSides">
              <wp:wrapPolygon edited="0">
                <wp:start x="0" y="0"/>
                <wp:lineTo x="0" y="20760"/>
                <wp:lineTo x="6790" y="20760"/>
                <wp:lineTo x="13581" y="20760"/>
                <wp:lineTo x="20371" y="20760"/>
                <wp:lineTo x="20371" y="0"/>
                <wp:lineTo x="0" y="0"/>
              </wp:wrapPolygon>
            </wp:wrapTigh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4180" cy="554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40F32">
        <w:t>MEĐIMURSKA ŽUPANIJA</w:t>
      </w:r>
    </w:p>
    <w:p w:rsidR="001B45DC" w:rsidRPr="00C40F32" w:rsidRDefault="001B45DC" w:rsidP="001B45DC">
      <w:pPr>
        <w:ind w:right="-1391"/>
        <w:contextualSpacing/>
        <w:jc w:val="both"/>
      </w:pPr>
      <w:r w:rsidRPr="00C40F32">
        <w:t>OPĆINA VRATIŠINEC</w:t>
      </w:r>
    </w:p>
    <w:p w:rsidR="001B45DC" w:rsidRPr="00C40F32" w:rsidRDefault="008E128D">
      <w:r w:rsidRPr="00C40F32">
        <w:t>Jedinstveni upravni odjel</w:t>
      </w:r>
    </w:p>
    <w:p w:rsidR="001B45DC" w:rsidRDefault="001B45DC">
      <w:pPr>
        <w:rPr>
          <w:sz w:val="17"/>
          <w:szCs w:val="17"/>
        </w:rPr>
      </w:pPr>
    </w:p>
    <w:p w:rsidR="00F848D7" w:rsidRPr="00906CB0" w:rsidRDefault="00F848D7">
      <w:pPr>
        <w:rPr>
          <w:sz w:val="22"/>
          <w:szCs w:val="22"/>
        </w:rPr>
      </w:pPr>
      <w:r w:rsidRPr="00906CB0">
        <w:rPr>
          <w:sz w:val="22"/>
          <w:szCs w:val="22"/>
        </w:rPr>
        <w:t xml:space="preserve">                                                                                          </w:t>
      </w:r>
      <w:r w:rsidR="00AE5753" w:rsidRPr="00906CB0">
        <w:rPr>
          <w:sz w:val="22"/>
          <w:szCs w:val="22"/>
        </w:rPr>
        <w:t xml:space="preserve"> OBVEZNIK: Općina </w:t>
      </w:r>
      <w:proofErr w:type="spellStart"/>
      <w:r w:rsidR="00AE5753" w:rsidRPr="00906CB0">
        <w:rPr>
          <w:sz w:val="22"/>
          <w:szCs w:val="22"/>
        </w:rPr>
        <w:t>Vratišinec</w:t>
      </w:r>
      <w:proofErr w:type="spellEnd"/>
    </w:p>
    <w:p w:rsidR="00F848D7" w:rsidRPr="00906CB0" w:rsidRDefault="00F848D7">
      <w:pPr>
        <w:rPr>
          <w:sz w:val="22"/>
          <w:szCs w:val="22"/>
        </w:rPr>
      </w:pPr>
      <w:r w:rsidRPr="00906CB0">
        <w:rPr>
          <w:sz w:val="22"/>
          <w:szCs w:val="22"/>
        </w:rPr>
        <w:t xml:space="preserve">                                                                         </w:t>
      </w:r>
      <w:r w:rsidR="00AE5753" w:rsidRPr="00906CB0">
        <w:rPr>
          <w:sz w:val="22"/>
          <w:szCs w:val="22"/>
        </w:rPr>
        <w:t xml:space="preserve">                  </w:t>
      </w:r>
      <w:r w:rsidR="00C40F32">
        <w:rPr>
          <w:sz w:val="22"/>
          <w:szCs w:val="22"/>
        </w:rPr>
        <w:t>Razina: 22</w:t>
      </w:r>
    </w:p>
    <w:p w:rsidR="00F848D7" w:rsidRPr="00906CB0" w:rsidRDefault="00F848D7">
      <w:pPr>
        <w:rPr>
          <w:sz w:val="22"/>
          <w:szCs w:val="22"/>
        </w:rPr>
      </w:pPr>
      <w:r w:rsidRPr="00906CB0">
        <w:rPr>
          <w:sz w:val="22"/>
          <w:szCs w:val="22"/>
        </w:rPr>
        <w:t xml:space="preserve">                                                                                  </w:t>
      </w:r>
      <w:r w:rsidR="001F433F" w:rsidRPr="00906CB0">
        <w:rPr>
          <w:sz w:val="22"/>
          <w:szCs w:val="22"/>
        </w:rPr>
        <w:t xml:space="preserve">         </w:t>
      </w:r>
      <w:r w:rsidR="007F1E14" w:rsidRPr="00906CB0">
        <w:rPr>
          <w:sz w:val="22"/>
          <w:szCs w:val="22"/>
        </w:rPr>
        <w:t>Matični broj:</w:t>
      </w:r>
      <w:r w:rsidR="0030293E" w:rsidRPr="00906CB0">
        <w:rPr>
          <w:sz w:val="22"/>
          <w:szCs w:val="22"/>
        </w:rPr>
        <w:t xml:space="preserve"> 02637782</w:t>
      </w:r>
    </w:p>
    <w:p w:rsidR="00AE5753" w:rsidRPr="00906CB0" w:rsidRDefault="00906CB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AE5753" w:rsidRPr="00906CB0">
        <w:rPr>
          <w:sz w:val="22"/>
          <w:szCs w:val="22"/>
        </w:rPr>
        <w:t>RKP: 33618</w:t>
      </w:r>
    </w:p>
    <w:p w:rsidR="00F848D7" w:rsidRPr="00906CB0" w:rsidRDefault="00F848D7">
      <w:pPr>
        <w:rPr>
          <w:sz w:val="22"/>
          <w:szCs w:val="22"/>
        </w:rPr>
      </w:pPr>
      <w:r w:rsidRPr="00906CB0">
        <w:rPr>
          <w:sz w:val="22"/>
          <w:szCs w:val="22"/>
        </w:rPr>
        <w:t xml:space="preserve">                                                                                  </w:t>
      </w:r>
      <w:r w:rsidR="001F433F" w:rsidRPr="00906CB0">
        <w:rPr>
          <w:sz w:val="22"/>
          <w:szCs w:val="22"/>
        </w:rPr>
        <w:t xml:space="preserve">         </w:t>
      </w:r>
      <w:r w:rsidR="00C95B21" w:rsidRPr="00906CB0">
        <w:rPr>
          <w:sz w:val="22"/>
          <w:szCs w:val="22"/>
        </w:rPr>
        <w:t>Šifra djelatnosti:</w:t>
      </w:r>
      <w:r w:rsidR="00FE6544" w:rsidRPr="00906CB0">
        <w:rPr>
          <w:sz w:val="22"/>
          <w:szCs w:val="22"/>
        </w:rPr>
        <w:t xml:space="preserve"> 8411</w:t>
      </w:r>
    </w:p>
    <w:p w:rsidR="00F848D7" w:rsidRPr="00906CB0" w:rsidRDefault="00F848D7">
      <w:pPr>
        <w:rPr>
          <w:sz w:val="22"/>
          <w:szCs w:val="22"/>
        </w:rPr>
      </w:pPr>
      <w:r w:rsidRPr="00906CB0">
        <w:rPr>
          <w:sz w:val="22"/>
          <w:szCs w:val="22"/>
        </w:rPr>
        <w:t xml:space="preserve">                                                                        </w:t>
      </w:r>
      <w:r w:rsidR="001F433F" w:rsidRPr="00906CB0">
        <w:rPr>
          <w:sz w:val="22"/>
          <w:szCs w:val="22"/>
        </w:rPr>
        <w:t xml:space="preserve">                   IBAN: HR41 2340 0091 8504 00009</w:t>
      </w:r>
    </w:p>
    <w:p w:rsidR="00F848D7" w:rsidRPr="00906CB0" w:rsidRDefault="007F53C4">
      <w:pPr>
        <w:rPr>
          <w:sz w:val="22"/>
          <w:szCs w:val="22"/>
        </w:rPr>
      </w:pPr>
      <w:r w:rsidRPr="00906CB0">
        <w:rPr>
          <w:sz w:val="22"/>
          <w:szCs w:val="22"/>
        </w:rPr>
        <w:t xml:space="preserve">                                                                           </w:t>
      </w:r>
      <w:r w:rsidR="001F433F" w:rsidRPr="00906CB0">
        <w:rPr>
          <w:sz w:val="22"/>
          <w:szCs w:val="22"/>
        </w:rPr>
        <w:t xml:space="preserve">                </w:t>
      </w:r>
      <w:r w:rsidR="0030293E" w:rsidRPr="00906CB0">
        <w:rPr>
          <w:sz w:val="22"/>
          <w:szCs w:val="22"/>
        </w:rPr>
        <w:t>OIB</w:t>
      </w:r>
      <w:r w:rsidR="001F433F" w:rsidRPr="00906CB0">
        <w:rPr>
          <w:sz w:val="22"/>
          <w:szCs w:val="22"/>
        </w:rPr>
        <w:t>:</w:t>
      </w:r>
      <w:r w:rsidR="0030293E" w:rsidRPr="00906CB0">
        <w:rPr>
          <w:sz w:val="22"/>
          <w:szCs w:val="22"/>
        </w:rPr>
        <w:t xml:space="preserve"> 01951413656</w:t>
      </w:r>
    </w:p>
    <w:p w:rsidR="00805B21" w:rsidRPr="00CB53F1" w:rsidRDefault="00841FB4" w:rsidP="00CB53F1">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AE5753" w:rsidRPr="00906CB0">
        <w:rPr>
          <w:sz w:val="22"/>
          <w:szCs w:val="22"/>
        </w:rPr>
        <w:t xml:space="preserve"> </w:t>
      </w:r>
    </w:p>
    <w:p w:rsidR="00F848D7" w:rsidRPr="00906CB0" w:rsidRDefault="00AE5753" w:rsidP="006C7698">
      <w:pPr>
        <w:contextualSpacing/>
        <w:jc w:val="center"/>
        <w:outlineLvl w:val="0"/>
        <w:rPr>
          <w:b/>
          <w:sz w:val="22"/>
          <w:szCs w:val="22"/>
        </w:rPr>
      </w:pPr>
      <w:r w:rsidRPr="00906CB0">
        <w:rPr>
          <w:b/>
          <w:sz w:val="22"/>
          <w:szCs w:val="22"/>
        </w:rPr>
        <w:t>BILJEŠKE UZ FINANCIJSKE</w:t>
      </w:r>
      <w:r w:rsidR="00F848D7" w:rsidRPr="00906CB0">
        <w:rPr>
          <w:b/>
          <w:sz w:val="22"/>
          <w:szCs w:val="22"/>
        </w:rPr>
        <w:t xml:space="preserve"> </w:t>
      </w:r>
      <w:r w:rsidRPr="00906CB0">
        <w:rPr>
          <w:b/>
          <w:sz w:val="22"/>
          <w:szCs w:val="22"/>
        </w:rPr>
        <w:t>IZVJEŠTAJE ZA RAZDOBLJE</w:t>
      </w:r>
    </w:p>
    <w:p w:rsidR="00F848D7" w:rsidRPr="00906CB0" w:rsidRDefault="001F433F" w:rsidP="001F433F">
      <w:pPr>
        <w:contextualSpacing/>
        <w:jc w:val="center"/>
        <w:rPr>
          <w:b/>
          <w:sz w:val="22"/>
          <w:szCs w:val="22"/>
        </w:rPr>
      </w:pPr>
      <w:r w:rsidRPr="00906CB0">
        <w:rPr>
          <w:b/>
          <w:sz w:val="22"/>
          <w:szCs w:val="22"/>
        </w:rPr>
        <w:t>01.</w:t>
      </w:r>
      <w:r w:rsidR="00462AF8" w:rsidRPr="00906CB0">
        <w:rPr>
          <w:b/>
          <w:sz w:val="22"/>
          <w:szCs w:val="22"/>
        </w:rPr>
        <w:t>01.</w:t>
      </w:r>
      <w:r w:rsidR="00C40F32">
        <w:rPr>
          <w:b/>
          <w:sz w:val="22"/>
          <w:szCs w:val="22"/>
        </w:rPr>
        <w:t>2024</w:t>
      </w:r>
      <w:r w:rsidR="00F060BB" w:rsidRPr="00906CB0">
        <w:rPr>
          <w:b/>
          <w:sz w:val="22"/>
          <w:szCs w:val="22"/>
        </w:rPr>
        <w:t xml:space="preserve">. – </w:t>
      </w:r>
      <w:r w:rsidR="007D65D1">
        <w:rPr>
          <w:b/>
          <w:sz w:val="22"/>
          <w:szCs w:val="22"/>
        </w:rPr>
        <w:t>30.06.2024.</w:t>
      </w:r>
      <w:r w:rsidR="00F060BB" w:rsidRPr="00906CB0">
        <w:rPr>
          <w:b/>
          <w:sz w:val="22"/>
          <w:szCs w:val="22"/>
        </w:rPr>
        <w:t xml:space="preserve"> </w:t>
      </w:r>
    </w:p>
    <w:p w:rsidR="00AE5753" w:rsidRPr="00906CB0" w:rsidRDefault="00AE5753" w:rsidP="001F433F">
      <w:pPr>
        <w:contextualSpacing/>
        <w:jc w:val="center"/>
        <w:rPr>
          <w:b/>
          <w:sz w:val="22"/>
          <w:szCs w:val="22"/>
        </w:rPr>
      </w:pPr>
    </w:p>
    <w:p w:rsidR="00AE5753" w:rsidRPr="00906CB0" w:rsidRDefault="00AE5753" w:rsidP="002E7F01">
      <w:pPr>
        <w:contextualSpacing/>
        <w:jc w:val="both"/>
        <w:rPr>
          <w:sz w:val="22"/>
          <w:szCs w:val="22"/>
        </w:rPr>
      </w:pPr>
      <w:r w:rsidRPr="00906CB0">
        <w:rPr>
          <w:sz w:val="22"/>
          <w:szCs w:val="22"/>
        </w:rPr>
        <w:t>Na temelju podataka iz računovodstva sastavljeni su fina</w:t>
      </w:r>
      <w:r w:rsidR="001B45DC">
        <w:rPr>
          <w:sz w:val="22"/>
          <w:szCs w:val="22"/>
        </w:rPr>
        <w:t xml:space="preserve">ncijski izvještaji </w:t>
      </w:r>
      <w:r w:rsidR="00EB618C">
        <w:rPr>
          <w:sz w:val="22"/>
          <w:szCs w:val="22"/>
        </w:rPr>
        <w:t>verzija 8.1</w:t>
      </w:r>
      <w:r w:rsidR="00B8413D">
        <w:rPr>
          <w:sz w:val="22"/>
          <w:szCs w:val="22"/>
        </w:rPr>
        <w:t>.3</w:t>
      </w:r>
      <w:r w:rsidRPr="00906CB0">
        <w:rPr>
          <w:sz w:val="22"/>
          <w:szCs w:val="22"/>
        </w:rPr>
        <w:t xml:space="preserve">. za </w:t>
      </w:r>
      <w:r w:rsidR="00CB53F1">
        <w:rPr>
          <w:sz w:val="22"/>
          <w:szCs w:val="22"/>
        </w:rPr>
        <w:t>razdoblje 01.01.</w:t>
      </w:r>
      <w:r w:rsidR="00C40F32">
        <w:rPr>
          <w:sz w:val="22"/>
          <w:szCs w:val="22"/>
        </w:rPr>
        <w:t>2024.</w:t>
      </w:r>
      <w:r w:rsidR="00CB53F1">
        <w:rPr>
          <w:sz w:val="22"/>
          <w:szCs w:val="22"/>
        </w:rPr>
        <w:t xml:space="preserve"> do </w:t>
      </w:r>
      <w:r w:rsidR="007D65D1">
        <w:rPr>
          <w:sz w:val="22"/>
          <w:szCs w:val="22"/>
        </w:rPr>
        <w:t>30</w:t>
      </w:r>
      <w:r w:rsidR="008C33BB" w:rsidRPr="00906CB0">
        <w:rPr>
          <w:sz w:val="22"/>
          <w:szCs w:val="22"/>
        </w:rPr>
        <w:t>.</w:t>
      </w:r>
      <w:r w:rsidR="007D65D1">
        <w:rPr>
          <w:sz w:val="22"/>
          <w:szCs w:val="22"/>
        </w:rPr>
        <w:t>06</w:t>
      </w:r>
      <w:r w:rsidR="008C33BB" w:rsidRPr="00906CB0">
        <w:rPr>
          <w:sz w:val="22"/>
          <w:szCs w:val="22"/>
        </w:rPr>
        <w:t>.</w:t>
      </w:r>
      <w:r w:rsidR="00C40F32">
        <w:rPr>
          <w:sz w:val="22"/>
          <w:szCs w:val="22"/>
        </w:rPr>
        <w:t>2024</w:t>
      </w:r>
      <w:r w:rsidR="008C33BB" w:rsidRPr="00906CB0">
        <w:rPr>
          <w:sz w:val="22"/>
          <w:szCs w:val="22"/>
        </w:rPr>
        <w:t>. godine (</w:t>
      </w:r>
      <w:r w:rsidR="00B143F1">
        <w:rPr>
          <w:sz w:val="22"/>
          <w:szCs w:val="22"/>
        </w:rPr>
        <w:t>Izvještaj o prihodima i r</w:t>
      </w:r>
      <w:r w:rsidR="00C40F32">
        <w:rPr>
          <w:sz w:val="22"/>
          <w:szCs w:val="22"/>
        </w:rPr>
        <w:t xml:space="preserve">ashodima, primicima i izdacima i </w:t>
      </w:r>
      <w:r w:rsidR="00B143F1">
        <w:rPr>
          <w:sz w:val="22"/>
          <w:szCs w:val="22"/>
        </w:rPr>
        <w:t>Izvještaj o obvezama)</w:t>
      </w:r>
    </w:p>
    <w:p w:rsidR="00C81E2F" w:rsidRPr="00B8413D" w:rsidRDefault="00AE5753" w:rsidP="002E7F01">
      <w:pPr>
        <w:pStyle w:val="Naslov1"/>
        <w:shd w:val="clear" w:color="auto" w:fill="FFFFFF"/>
        <w:spacing w:before="0" w:beforeAutospacing="0"/>
        <w:jc w:val="both"/>
        <w:rPr>
          <w:b w:val="0"/>
          <w:sz w:val="22"/>
          <w:szCs w:val="22"/>
        </w:rPr>
      </w:pPr>
      <w:r w:rsidRPr="00B8413D">
        <w:rPr>
          <w:b w:val="0"/>
          <w:sz w:val="22"/>
          <w:szCs w:val="22"/>
        </w:rPr>
        <w:t xml:space="preserve">Obrasci su dostavljeni u propisanom roku, do </w:t>
      </w:r>
      <w:r w:rsidR="00C40F32">
        <w:rPr>
          <w:b w:val="0"/>
          <w:sz w:val="22"/>
          <w:szCs w:val="22"/>
        </w:rPr>
        <w:t>10</w:t>
      </w:r>
      <w:r w:rsidR="001B45DC" w:rsidRPr="00B8413D">
        <w:rPr>
          <w:b w:val="0"/>
          <w:sz w:val="22"/>
          <w:szCs w:val="22"/>
        </w:rPr>
        <w:t xml:space="preserve">. </w:t>
      </w:r>
      <w:r w:rsidR="007D65D1">
        <w:rPr>
          <w:b w:val="0"/>
          <w:sz w:val="22"/>
          <w:szCs w:val="22"/>
        </w:rPr>
        <w:t>srpnja</w:t>
      </w:r>
      <w:r w:rsidR="001B45DC" w:rsidRPr="00B8413D">
        <w:rPr>
          <w:b w:val="0"/>
          <w:sz w:val="22"/>
          <w:szCs w:val="22"/>
        </w:rPr>
        <w:t xml:space="preserve"> </w:t>
      </w:r>
      <w:r w:rsidR="00EB618C">
        <w:rPr>
          <w:b w:val="0"/>
          <w:sz w:val="22"/>
          <w:szCs w:val="22"/>
        </w:rPr>
        <w:t>2024</w:t>
      </w:r>
      <w:r w:rsidR="001B45DC" w:rsidRPr="00B8413D">
        <w:rPr>
          <w:b w:val="0"/>
          <w:sz w:val="22"/>
          <w:szCs w:val="22"/>
        </w:rPr>
        <w:t>. godine putem sustava RKPF</w:t>
      </w:r>
      <w:r w:rsidR="00EB618C">
        <w:rPr>
          <w:b w:val="0"/>
          <w:sz w:val="22"/>
          <w:szCs w:val="22"/>
        </w:rPr>
        <w:t>I</w:t>
      </w:r>
      <w:r w:rsidR="00B8413D" w:rsidRPr="00B8413D">
        <w:rPr>
          <w:b w:val="0"/>
          <w:sz w:val="22"/>
          <w:szCs w:val="22"/>
        </w:rPr>
        <w:t>, a sve u skladu s Okružnicom Ministar</w:t>
      </w:r>
      <w:r w:rsidR="00EB618C">
        <w:rPr>
          <w:b w:val="0"/>
          <w:sz w:val="22"/>
          <w:szCs w:val="22"/>
        </w:rPr>
        <w:t>stva financija (KLASA: 400-02/</w:t>
      </w:r>
      <w:r w:rsidR="00C40F32">
        <w:rPr>
          <w:b w:val="0"/>
          <w:sz w:val="22"/>
          <w:szCs w:val="22"/>
        </w:rPr>
        <w:t>24</w:t>
      </w:r>
      <w:r w:rsidR="00EB618C">
        <w:rPr>
          <w:b w:val="0"/>
          <w:sz w:val="22"/>
          <w:szCs w:val="22"/>
        </w:rPr>
        <w:t>-01/</w:t>
      </w:r>
      <w:r w:rsidR="00C40F32">
        <w:rPr>
          <w:b w:val="0"/>
          <w:sz w:val="22"/>
          <w:szCs w:val="22"/>
        </w:rPr>
        <w:t>19</w:t>
      </w:r>
      <w:r w:rsidR="00B8413D" w:rsidRPr="00B8413D">
        <w:rPr>
          <w:b w:val="0"/>
          <w:sz w:val="22"/>
          <w:szCs w:val="22"/>
        </w:rPr>
        <w:t>, URBROJ: 513-05-03-</w:t>
      </w:r>
      <w:r w:rsidR="007D65D1">
        <w:rPr>
          <w:b w:val="0"/>
          <w:sz w:val="22"/>
          <w:szCs w:val="22"/>
        </w:rPr>
        <w:t>24-2</w:t>
      </w:r>
      <w:r w:rsidR="00B8413D" w:rsidRPr="00B8413D">
        <w:rPr>
          <w:b w:val="0"/>
          <w:sz w:val="22"/>
          <w:szCs w:val="22"/>
        </w:rPr>
        <w:t xml:space="preserve">) od </w:t>
      </w:r>
      <w:r w:rsidR="007D65D1">
        <w:rPr>
          <w:b w:val="0"/>
          <w:sz w:val="22"/>
          <w:szCs w:val="22"/>
        </w:rPr>
        <w:t>01.07.2024.</w:t>
      </w:r>
    </w:p>
    <w:p w:rsidR="00282D00" w:rsidRDefault="001B45DC" w:rsidP="007B50E9">
      <w:pPr>
        <w:contextualSpacing/>
        <w:jc w:val="both"/>
        <w:rPr>
          <w:sz w:val="22"/>
          <w:szCs w:val="22"/>
        </w:rPr>
      </w:pPr>
      <w:r>
        <w:rPr>
          <w:sz w:val="22"/>
          <w:szCs w:val="22"/>
        </w:rPr>
        <w:t xml:space="preserve">Općina </w:t>
      </w:r>
      <w:proofErr w:type="spellStart"/>
      <w:r>
        <w:rPr>
          <w:sz w:val="22"/>
          <w:szCs w:val="22"/>
        </w:rPr>
        <w:t>Vratiši</w:t>
      </w:r>
      <w:r w:rsidR="007D65D1">
        <w:rPr>
          <w:sz w:val="22"/>
          <w:szCs w:val="22"/>
        </w:rPr>
        <w:t>nec</w:t>
      </w:r>
      <w:proofErr w:type="spellEnd"/>
      <w:r w:rsidR="007D65D1">
        <w:rPr>
          <w:sz w:val="22"/>
          <w:szCs w:val="22"/>
        </w:rPr>
        <w:t xml:space="preserve"> nema proračunskog korisnika.</w:t>
      </w:r>
    </w:p>
    <w:p w:rsidR="001B45DC" w:rsidRPr="00906CB0" w:rsidRDefault="001B45DC" w:rsidP="00DE6BD7">
      <w:pPr>
        <w:jc w:val="both"/>
        <w:outlineLvl w:val="0"/>
        <w:rPr>
          <w:sz w:val="22"/>
          <w:szCs w:val="22"/>
        </w:rPr>
      </w:pPr>
    </w:p>
    <w:p w:rsidR="00282D00" w:rsidRDefault="00282D00" w:rsidP="00DE6BD7">
      <w:pPr>
        <w:pStyle w:val="Odlomakpopisa"/>
        <w:numPr>
          <w:ilvl w:val="0"/>
          <w:numId w:val="5"/>
        </w:numPr>
        <w:jc w:val="both"/>
        <w:outlineLvl w:val="0"/>
        <w:rPr>
          <w:b/>
          <w:sz w:val="22"/>
          <w:szCs w:val="22"/>
        </w:rPr>
      </w:pPr>
      <w:r w:rsidRPr="00906CB0">
        <w:rPr>
          <w:b/>
          <w:sz w:val="22"/>
          <w:szCs w:val="22"/>
        </w:rPr>
        <w:t>Bilješke uz obrazac OBVEZE</w:t>
      </w:r>
    </w:p>
    <w:p w:rsidR="001B45DC" w:rsidRDefault="001B45DC" w:rsidP="001B45DC">
      <w:pPr>
        <w:jc w:val="both"/>
        <w:outlineLvl w:val="0"/>
        <w:rPr>
          <w:b/>
          <w:sz w:val="22"/>
          <w:szCs w:val="22"/>
        </w:rPr>
      </w:pPr>
    </w:p>
    <w:p w:rsidR="00EB618C" w:rsidRDefault="00EB618C" w:rsidP="005912AD">
      <w:pPr>
        <w:jc w:val="both"/>
        <w:outlineLvl w:val="0"/>
        <w:rPr>
          <w:sz w:val="22"/>
          <w:szCs w:val="22"/>
        </w:rPr>
      </w:pPr>
    </w:p>
    <w:p w:rsidR="00EB618C" w:rsidRDefault="00EB618C" w:rsidP="005912AD">
      <w:pPr>
        <w:jc w:val="both"/>
        <w:outlineLvl w:val="0"/>
        <w:rPr>
          <w:sz w:val="22"/>
          <w:szCs w:val="22"/>
        </w:rPr>
      </w:pPr>
      <w:r>
        <w:rPr>
          <w:sz w:val="22"/>
          <w:szCs w:val="22"/>
        </w:rPr>
        <w:t>Stanje obveza 1.1.2024. su</w:t>
      </w:r>
      <w:r w:rsidR="00C40F32">
        <w:rPr>
          <w:sz w:val="22"/>
          <w:szCs w:val="22"/>
        </w:rPr>
        <w:t xml:space="preserve"> </w:t>
      </w:r>
      <w:r w:rsidRPr="00036416">
        <w:rPr>
          <w:b/>
          <w:sz w:val="22"/>
          <w:szCs w:val="22"/>
        </w:rPr>
        <w:t>39.285,96 EUR</w:t>
      </w:r>
      <w:r w:rsidR="00C40F32">
        <w:rPr>
          <w:sz w:val="22"/>
          <w:szCs w:val="22"/>
        </w:rPr>
        <w:t xml:space="preserve">, što odgovara stanju obveza na dan 31.12.2023. godine. U izvještajnom razdoblju povećanje obveza iznosi </w:t>
      </w:r>
      <w:r w:rsidR="007D65D1">
        <w:rPr>
          <w:sz w:val="22"/>
          <w:szCs w:val="22"/>
        </w:rPr>
        <w:t>1.243.080,23</w:t>
      </w:r>
      <w:r w:rsidR="00C40F32">
        <w:rPr>
          <w:sz w:val="22"/>
          <w:szCs w:val="22"/>
        </w:rPr>
        <w:t xml:space="preserve"> EUR (V002), a podmirenje obveza iznosi </w:t>
      </w:r>
      <w:r w:rsidR="007D65D1">
        <w:rPr>
          <w:sz w:val="22"/>
          <w:szCs w:val="22"/>
        </w:rPr>
        <w:t>888</w:t>
      </w:r>
      <w:r w:rsidR="00C40F32">
        <w:rPr>
          <w:sz w:val="22"/>
          <w:szCs w:val="22"/>
        </w:rPr>
        <w:t>.</w:t>
      </w:r>
      <w:r w:rsidR="007D65D1">
        <w:rPr>
          <w:sz w:val="22"/>
          <w:szCs w:val="22"/>
        </w:rPr>
        <w:t>825</w:t>
      </w:r>
      <w:r w:rsidR="00C40F32">
        <w:rPr>
          <w:sz w:val="22"/>
          <w:szCs w:val="22"/>
        </w:rPr>
        <w:t>,</w:t>
      </w:r>
      <w:r w:rsidR="007D65D1">
        <w:rPr>
          <w:sz w:val="22"/>
          <w:szCs w:val="22"/>
        </w:rPr>
        <w:t>69</w:t>
      </w:r>
      <w:r w:rsidR="00C40F32">
        <w:rPr>
          <w:sz w:val="22"/>
          <w:szCs w:val="22"/>
        </w:rPr>
        <w:t xml:space="preserve"> EUR (V004). Na dan </w:t>
      </w:r>
      <w:r w:rsidR="007D65D1">
        <w:rPr>
          <w:sz w:val="22"/>
          <w:szCs w:val="22"/>
        </w:rPr>
        <w:t>30.06.2024.</w:t>
      </w:r>
      <w:r w:rsidR="00C40F32">
        <w:rPr>
          <w:sz w:val="22"/>
          <w:szCs w:val="22"/>
        </w:rPr>
        <w:t xml:space="preserve">. godine ukupno stanje obveza iznosi: </w:t>
      </w:r>
      <w:r w:rsidR="007D65D1" w:rsidRPr="006F5E4C">
        <w:rPr>
          <w:b/>
          <w:sz w:val="22"/>
          <w:szCs w:val="22"/>
        </w:rPr>
        <w:t>393.540,50 EUR.</w:t>
      </w:r>
    </w:p>
    <w:p w:rsidR="00EB618C" w:rsidRDefault="00EB618C" w:rsidP="005912AD">
      <w:pPr>
        <w:jc w:val="both"/>
        <w:outlineLvl w:val="0"/>
        <w:rPr>
          <w:sz w:val="22"/>
          <w:szCs w:val="22"/>
        </w:rPr>
      </w:pPr>
    </w:p>
    <w:p w:rsidR="00EB618C" w:rsidRPr="000A05F3" w:rsidRDefault="00EB618C" w:rsidP="000A05F3">
      <w:pPr>
        <w:pStyle w:val="Odlomakpopisa"/>
        <w:numPr>
          <w:ilvl w:val="0"/>
          <w:numId w:val="27"/>
        </w:numPr>
        <w:jc w:val="both"/>
        <w:outlineLvl w:val="0"/>
        <w:rPr>
          <w:sz w:val="22"/>
          <w:szCs w:val="22"/>
        </w:rPr>
      </w:pPr>
      <w:r w:rsidRPr="000A05F3">
        <w:rPr>
          <w:sz w:val="22"/>
          <w:szCs w:val="22"/>
        </w:rPr>
        <w:t xml:space="preserve">Stanje dospjelih </w:t>
      </w:r>
      <w:r w:rsidR="00C42E63" w:rsidRPr="000A05F3">
        <w:rPr>
          <w:sz w:val="22"/>
          <w:szCs w:val="22"/>
        </w:rPr>
        <w:t xml:space="preserve">obveza na kraju izvještajnog razdoblja: </w:t>
      </w:r>
      <w:r w:rsidR="007D65D1" w:rsidRPr="000A05F3">
        <w:rPr>
          <w:b/>
          <w:sz w:val="22"/>
          <w:szCs w:val="22"/>
        </w:rPr>
        <w:t>287</w:t>
      </w:r>
      <w:r w:rsidR="00C40F32" w:rsidRPr="000A05F3">
        <w:rPr>
          <w:b/>
          <w:sz w:val="22"/>
          <w:szCs w:val="22"/>
        </w:rPr>
        <w:t>.</w:t>
      </w:r>
      <w:r w:rsidR="007D65D1" w:rsidRPr="000A05F3">
        <w:rPr>
          <w:b/>
          <w:sz w:val="22"/>
          <w:szCs w:val="22"/>
        </w:rPr>
        <w:t>922,83</w:t>
      </w:r>
      <w:r w:rsidR="00C40F32" w:rsidRPr="000A05F3">
        <w:rPr>
          <w:b/>
          <w:sz w:val="22"/>
          <w:szCs w:val="22"/>
        </w:rPr>
        <w:t xml:space="preserve"> EUR</w:t>
      </w:r>
      <w:r w:rsidR="007D65D1" w:rsidRPr="000A05F3">
        <w:rPr>
          <w:b/>
          <w:sz w:val="22"/>
          <w:szCs w:val="22"/>
        </w:rPr>
        <w:t xml:space="preserve"> i to:</w:t>
      </w:r>
    </w:p>
    <w:p w:rsidR="007D65D1" w:rsidRPr="000A05F3" w:rsidRDefault="007D65D1" w:rsidP="007D65D1">
      <w:pPr>
        <w:pStyle w:val="Odlomakpopisa"/>
        <w:jc w:val="both"/>
        <w:outlineLvl w:val="0"/>
        <w:rPr>
          <w:sz w:val="22"/>
          <w:szCs w:val="22"/>
        </w:rPr>
      </w:pPr>
      <w:r w:rsidRPr="000A05F3">
        <w:rPr>
          <w:sz w:val="22"/>
          <w:szCs w:val="22"/>
        </w:rPr>
        <w:t>232 – PREKORAČENJE 181-360 – 21,80 EUR</w:t>
      </w:r>
    </w:p>
    <w:p w:rsidR="000A05F3" w:rsidRPr="000A05F3" w:rsidRDefault="000A05F3" w:rsidP="007D65D1">
      <w:pPr>
        <w:pStyle w:val="Odlomakpopisa"/>
        <w:jc w:val="both"/>
        <w:outlineLvl w:val="0"/>
        <w:rPr>
          <w:sz w:val="22"/>
          <w:szCs w:val="22"/>
        </w:rPr>
      </w:pPr>
      <w:r w:rsidRPr="000A05F3">
        <w:rPr>
          <w:sz w:val="22"/>
          <w:szCs w:val="22"/>
        </w:rPr>
        <w:t>239 – PREKORAČENJE 61 DO 180 DANA – 29.491,45 EUR</w:t>
      </w:r>
      <w:r>
        <w:rPr>
          <w:sz w:val="22"/>
          <w:szCs w:val="22"/>
        </w:rPr>
        <w:t xml:space="preserve"> – Hrvatske vode 28.691,45 </w:t>
      </w:r>
      <w:proofErr w:type="spellStart"/>
      <w:r>
        <w:rPr>
          <w:sz w:val="22"/>
          <w:szCs w:val="22"/>
        </w:rPr>
        <w:t>eur</w:t>
      </w:r>
      <w:proofErr w:type="spellEnd"/>
      <w:r>
        <w:rPr>
          <w:sz w:val="22"/>
          <w:szCs w:val="22"/>
        </w:rPr>
        <w:t xml:space="preserve"> i 800,00 </w:t>
      </w:r>
      <w:proofErr w:type="spellStart"/>
      <w:r>
        <w:rPr>
          <w:sz w:val="22"/>
          <w:szCs w:val="22"/>
        </w:rPr>
        <w:t>eur</w:t>
      </w:r>
      <w:proofErr w:type="spellEnd"/>
      <w:r>
        <w:rPr>
          <w:sz w:val="22"/>
          <w:szCs w:val="22"/>
        </w:rPr>
        <w:t xml:space="preserve"> dug za isplatu troškova ogrjeva za korisnike ZMN.</w:t>
      </w:r>
    </w:p>
    <w:p w:rsidR="000A05F3" w:rsidRDefault="000A05F3" w:rsidP="000A05F3">
      <w:pPr>
        <w:pStyle w:val="Odlomakpopisa"/>
        <w:jc w:val="both"/>
        <w:outlineLvl w:val="0"/>
        <w:rPr>
          <w:sz w:val="22"/>
          <w:szCs w:val="22"/>
        </w:rPr>
      </w:pPr>
      <w:r w:rsidRPr="000A05F3">
        <w:rPr>
          <w:sz w:val="22"/>
          <w:szCs w:val="22"/>
        </w:rPr>
        <w:t xml:space="preserve">239 – PREKO 360 DANA – 2.810,38 EUR – obveze za jamčevine 1.205,29 </w:t>
      </w:r>
      <w:proofErr w:type="spellStart"/>
      <w:r w:rsidRPr="000A05F3">
        <w:rPr>
          <w:sz w:val="22"/>
          <w:szCs w:val="22"/>
        </w:rPr>
        <w:t>eur</w:t>
      </w:r>
      <w:proofErr w:type="spellEnd"/>
      <w:r w:rsidRPr="000A05F3">
        <w:rPr>
          <w:sz w:val="22"/>
          <w:szCs w:val="22"/>
        </w:rPr>
        <w:t xml:space="preserve">, 1.420,47 </w:t>
      </w:r>
      <w:proofErr w:type="spellStart"/>
      <w:r w:rsidRPr="000A05F3">
        <w:rPr>
          <w:sz w:val="22"/>
          <w:szCs w:val="22"/>
        </w:rPr>
        <w:t>eur</w:t>
      </w:r>
      <w:proofErr w:type="spellEnd"/>
      <w:r w:rsidRPr="000A05F3">
        <w:rPr>
          <w:sz w:val="22"/>
          <w:szCs w:val="22"/>
        </w:rPr>
        <w:t xml:space="preserve"> Hrvatske vode, 184,62 </w:t>
      </w:r>
      <w:proofErr w:type="spellStart"/>
      <w:r w:rsidRPr="000A05F3">
        <w:rPr>
          <w:sz w:val="22"/>
          <w:szCs w:val="22"/>
        </w:rPr>
        <w:t>eur</w:t>
      </w:r>
      <w:proofErr w:type="spellEnd"/>
      <w:r w:rsidRPr="000A05F3">
        <w:rPr>
          <w:sz w:val="22"/>
          <w:szCs w:val="22"/>
        </w:rPr>
        <w:t xml:space="preserve"> – dug za legalizaciju županiji.</w:t>
      </w:r>
    </w:p>
    <w:p w:rsidR="000A05F3" w:rsidRDefault="000A05F3" w:rsidP="000A05F3">
      <w:pPr>
        <w:pStyle w:val="Odlomakpopisa"/>
        <w:jc w:val="both"/>
        <w:outlineLvl w:val="0"/>
        <w:rPr>
          <w:sz w:val="22"/>
          <w:szCs w:val="22"/>
        </w:rPr>
      </w:pPr>
      <w:r>
        <w:rPr>
          <w:sz w:val="22"/>
          <w:szCs w:val="22"/>
        </w:rPr>
        <w:t xml:space="preserve">24 – PREKORAČENJE 1 DO 60 DANA – </w:t>
      </w:r>
      <w:r w:rsidR="006F5E4C">
        <w:rPr>
          <w:sz w:val="22"/>
          <w:szCs w:val="22"/>
        </w:rPr>
        <w:t xml:space="preserve">255.599,20 EUR - </w:t>
      </w:r>
      <w:r>
        <w:rPr>
          <w:sz w:val="22"/>
          <w:szCs w:val="22"/>
        </w:rPr>
        <w:t xml:space="preserve">240.853,87 </w:t>
      </w:r>
      <w:proofErr w:type="spellStart"/>
      <w:r>
        <w:rPr>
          <w:sz w:val="22"/>
          <w:szCs w:val="22"/>
        </w:rPr>
        <w:t>eur</w:t>
      </w:r>
      <w:proofErr w:type="spellEnd"/>
      <w:r>
        <w:rPr>
          <w:sz w:val="22"/>
          <w:szCs w:val="22"/>
        </w:rPr>
        <w:t xml:space="preserve"> </w:t>
      </w:r>
      <w:proofErr w:type="spellStart"/>
      <w:r>
        <w:rPr>
          <w:sz w:val="22"/>
          <w:szCs w:val="22"/>
        </w:rPr>
        <w:t>Hidroing</w:t>
      </w:r>
      <w:proofErr w:type="spellEnd"/>
      <w:r>
        <w:rPr>
          <w:sz w:val="22"/>
          <w:szCs w:val="22"/>
        </w:rPr>
        <w:t xml:space="preserve"> d.o.o. za izgradnju matičnog vrtića, 14.745,33 </w:t>
      </w:r>
      <w:proofErr w:type="spellStart"/>
      <w:r>
        <w:rPr>
          <w:sz w:val="22"/>
          <w:szCs w:val="22"/>
        </w:rPr>
        <w:t>eur</w:t>
      </w:r>
      <w:proofErr w:type="spellEnd"/>
      <w:r>
        <w:rPr>
          <w:sz w:val="22"/>
          <w:szCs w:val="22"/>
        </w:rPr>
        <w:t xml:space="preserve"> Tegra d.o.o. za Školsku ulicu</w:t>
      </w:r>
    </w:p>
    <w:p w:rsidR="000A05F3" w:rsidRDefault="000A05F3" w:rsidP="000A05F3">
      <w:pPr>
        <w:jc w:val="both"/>
        <w:outlineLvl w:val="0"/>
        <w:rPr>
          <w:sz w:val="22"/>
          <w:szCs w:val="22"/>
        </w:rPr>
      </w:pPr>
    </w:p>
    <w:p w:rsidR="00C42E63" w:rsidRPr="000A05F3" w:rsidRDefault="00C42E63" w:rsidP="000A05F3">
      <w:pPr>
        <w:pStyle w:val="Odlomakpopisa"/>
        <w:numPr>
          <w:ilvl w:val="0"/>
          <w:numId w:val="27"/>
        </w:numPr>
        <w:jc w:val="both"/>
        <w:outlineLvl w:val="0"/>
        <w:rPr>
          <w:sz w:val="22"/>
          <w:szCs w:val="22"/>
        </w:rPr>
      </w:pPr>
      <w:r w:rsidRPr="000A05F3">
        <w:rPr>
          <w:sz w:val="22"/>
          <w:szCs w:val="22"/>
        </w:rPr>
        <w:t xml:space="preserve">Stanje nedospjelih obveza na kraju izvještajnog razdoblja: </w:t>
      </w:r>
      <w:r w:rsidR="000A05F3">
        <w:rPr>
          <w:b/>
          <w:sz w:val="22"/>
          <w:szCs w:val="22"/>
        </w:rPr>
        <w:t>105.617,67 EUR i to:</w:t>
      </w:r>
    </w:p>
    <w:p w:rsidR="00C42E63" w:rsidRDefault="00C42E63" w:rsidP="00C42E63">
      <w:pPr>
        <w:pStyle w:val="Odlomakpopisa"/>
        <w:numPr>
          <w:ilvl w:val="0"/>
          <w:numId w:val="20"/>
        </w:numPr>
        <w:jc w:val="both"/>
        <w:outlineLvl w:val="0"/>
        <w:rPr>
          <w:sz w:val="22"/>
          <w:szCs w:val="22"/>
        </w:rPr>
      </w:pPr>
      <w:r w:rsidRPr="00C42E63">
        <w:rPr>
          <w:sz w:val="22"/>
          <w:szCs w:val="22"/>
        </w:rPr>
        <w:t xml:space="preserve">Dobavljači: </w:t>
      </w:r>
      <w:r w:rsidR="00681DC0">
        <w:rPr>
          <w:sz w:val="22"/>
          <w:szCs w:val="22"/>
        </w:rPr>
        <w:t>98.541,79</w:t>
      </w:r>
      <w:r w:rsidRPr="00C42E63">
        <w:rPr>
          <w:sz w:val="22"/>
          <w:szCs w:val="22"/>
        </w:rPr>
        <w:t xml:space="preserve"> EUR</w:t>
      </w:r>
    </w:p>
    <w:p w:rsidR="00C42E63" w:rsidRDefault="00C42E63" w:rsidP="00C42E63">
      <w:pPr>
        <w:pStyle w:val="Odlomakpopisa"/>
        <w:numPr>
          <w:ilvl w:val="0"/>
          <w:numId w:val="20"/>
        </w:numPr>
        <w:jc w:val="both"/>
        <w:outlineLvl w:val="0"/>
        <w:rPr>
          <w:sz w:val="22"/>
          <w:szCs w:val="22"/>
        </w:rPr>
      </w:pPr>
      <w:r>
        <w:rPr>
          <w:sz w:val="22"/>
          <w:szCs w:val="22"/>
        </w:rPr>
        <w:t xml:space="preserve">Obveze za zaposlene za </w:t>
      </w:r>
      <w:r w:rsidR="000A05F3">
        <w:rPr>
          <w:sz w:val="22"/>
          <w:szCs w:val="22"/>
        </w:rPr>
        <w:t>06</w:t>
      </w:r>
      <w:r>
        <w:rPr>
          <w:sz w:val="22"/>
          <w:szCs w:val="22"/>
        </w:rPr>
        <w:t>/</w:t>
      </w:r>
      <w:r w:rsidR="002572A1">
        <w:rPr>
          <w:sz w:val="22"/>
          <w:szCs w:val="22"/>
        </w:rPr>
        <w:t>24</w:t>
      </w:r>
      <w:r>
        <w:rPr>
          <w:sz w:val="22"/>
          <w:szCs w:val="22"/>
        </w:rPr>
        <w:t xml:space="preserve"> –</w:t>
      </w:r>
      <w:r w:rsidR="002572A1">
        <w:rPr>
          <w:sz w:val="22"/>
          <w:szCs w:val="22"/>
        </w:rPr>
        <w:t xml:space="preserve"> </w:t>
      </w:r>
      <w:r w:rsidR="000A05F3">
        <w:rPr>
          <w:sz w:val="22"/>
          <w:szCs w:val="22"/>
        </w:rPr>
        <w:t>6.386,07</w:t>
      </w:r>
      <w:r w:rsidR="002572A1">
        <w:rPr>
          <w:sz w:val="22"/>
          <w:szCs w:val="22"/>
        </w:rPr>
        <w:t xml:space="preserve"> </w:t>
      </w:r>
      <w:r>
        <w:rPr>
          <w:sz w:val="22"/>
          <w:szCs w:val="22"/>
        </w:rPr>
        <w:t>EUR (plaća)</w:t>
      </w:r>
    </w:p>
    <w:p w:rsidR="00681DC0" w:rsidRDefault="00681DC0" w:rsidP="00C42E63">
      <w:pPr>
        <w:pStyle w:val="Odlomakpopisa"/>
        <w:numPr>
          <w:ilvl w:val="0"/>
          <w:numId w:val="20"/>
        </w:numPr>
        <w:jc w:val="both"/>
        <w:outlineLvl w:val="0"/>
        <w:rPr>
          <w:sz w:val="22"/>
          <w:szCs w:val="22"/>
        </w:rPr>
      </w:pPr>
      <w:r>
        <w:rPr>
          <w:sz w:val="22"/>
          <w:szCs w:val="22"/>
        </w:rPr>
        <w:t>Putni troškovi za 06/2024 – 366,16 EUR</w:t>
      </w:r>
    </w:p>
    <w:p w:rsidR="00681DC0" w:rsidRDefault="00681DC0" w:rsidP="00C42E63">
      <w:pPr>
        <w:pStyle w:val="Odlomakpopisa"/>
        <w:numPr>
          <w:ilvl w:val="0"/>
          <w:numId w:val="20"/>
        </w:numPr>
        <w:jc w:val="both"/>
        <w:outlineLvl w:val="0"/>
        <w:rPr>
          <w:sz w:val="22"/>
          <w:szCs w:val="22"/>
        </w:rPr>
      </w:pPr>
      <w:r>
        <w:rPr>
          <w:sz w:val="22"/>
          <w:szCs w:val="22"/>
        </w:rPr>
        <w:t>Korištenje automobila u sl. svrhe načelnika za 6/2024 – 175,00 EUR</w:t>
      </w:r>
    </w:p>
    <w:p w:rsidR="00C42E63" w:rsidRDefault="00C42E63" w:rsidP="00C42E63">
      <w:pPr>
        <w:pStyle w:val="Odlomakpopisa"/>
        <w:numPr>
          <w:ilvl w:val="0"/>
          <w:numId w:val="20"/>
        </w:numPr>
        <w:jc w:val="both"/>
        <w:outlineLvl w:val="0"/>
        <w:rPr>
          <w:sz w:val="22"/>
          <w:szCs w:val="22"/>
        </w:rPr>
      </w:pPr>
      <w:r>
        <w:rPr>
          <w:sz w:val="22"/>
          <w:szCs w:val="22"/>
        </w:rPr>
        <w:t xml:space="preserve">Naknada za predsjednicu vijeća za </w:t>
      </w:r>
      <w:r w:rsidR="00681DC0">
        <w:rPr>
          <w:sz w:val="22"/>
          <w:szCs w:val="22"/>
        </w:rPr>
        <w:t>06</w:t>
      </w:r>
      <w:r>
        <w:rPr>
          <w:sz w:val="22"/>
          <w:szCs w:val="22"/>
        </w:rPr>
        <w:t>/</w:t>
      </w:r>
      <w:r w:rsidR="002572A1">
        <w:rPr>
          <w:sz w:val="22"/>
          <w:szCs w:val="22"/>
        </w:rPr>
        <w:t>24</w:t>
      </w:r>
      <w:r w:rsidR="00681DC0">
        <w:rPr>
          <w:sz w:val="22"/>
          <w:szCs w:val="22"/>
        </w:rPr>
        <w:t xml:space="preserve"> – 148,65</w:t>
      </w:r>
      <w:r>
        <w:rPr>
          <w:sz w:val="22"/>
          <w:szCs w:val="22"/>
        </w:rPr>
        <w:t xml:space="preserve"> EUR</w:t>
      </w:r>
    </w:p>
    <w:p w:rsidR="00C42E63" w:rsidRDefault="00C42E63" w:rsidP="00C42E63">
      <w:pPr>
        <w:jc w:val="both"/>
        <w:outlineLvl w:val="0"/>
        <w:rPr>
          <w:sz w:val="22"/>
          <w:szCs w:val="22"/>
        </w:rPr>
      </w:pPr>
    </w:p>
    <w:p w:rsidR="00681DC0" w:rsidRDefault="00681DC0" w:rsidP="00C42E63">
      <w:pPr>
        <w:jc w:val="both"/>
        <w:outlineLvl w:val="0"/>
        <w:rPr>
          <w:sz w:val="22"/>
          <w:szCs w:val="22"/>
        </w:rPr>
      </w:pPr>
    </w:p>
    <w:p w:rsidR="00681DC0" w:rsidRDefault="00681DC0" w:rsidP="00C42E63">
      <w:pPr>
        <w:jc w:val="both"/>
        <w:outlineLvl w:val="0"/>
        <w:rPr>
          <w:sz w:val="22"/>
          <w:szCs w:val="22"/>
        </w:rPr>
      </w:pPr>
    </w:p>
    <w:p w:rsidR="00681DC0" w:rsidRDefault="00681DC0" w:rsidP="00C42E63">
      <w:pPr>
        <w:jc w:val="both"/>
        <w:outlineLvl w:val="0"/>
        <w:rPr>
          <w:sz w:val="22"/>
          <w:szCs w:val="22"/>
        </w:rPr>
      </w:pPr>
    </w:p>
    <w:p w:rsidR="00282D00" w:rsidRPr="00906CB0" w:rsidRDefault="00282D00" w:rsidP="000A05F3">
      <w:pPr>
        <w:pStyle w:val="Odlomakpopisa"/>
        <w:numPr>
          <w:ilvl w:val="0"/>
          <w:numId w:val="27"/>
        </w:numPr>
        <w:jc w:val="both"/>
        <w:outlineLvl w:val="0"/>
        <w:rPr>
          <w:b/>
          <w:sz w:val="22"/>
          <w:szCs w:val="22"/>
        </w:rPr>
      </w:pPr>
      <w:r w:rsidRPr="00906CB0">
        <w:rPr>
          <w:b/>
          <w:sz w:val="22"/>
          <w:szCs w:val="22"/>
        </w:rPr>
        <w:lastRenderedPageBreak/>
        <w:t>Bilješke uz Izvještaj o prihodima i rashodima – obrazac PR-RAS</w:t>
      </w:r>
    </w:p>
    <w:p w:rsidR="00CB53F1" w:rsidRDefault="00CB53F1" w:rsidP="009F4249">
      <w:pPr>
        <w:jc w:val="both"/>
        <w:outlineLvl w:val="0"/>
        <w:rPr>
          <w:sz w:val="22"/>
          <w:szCs w:val="22"/>
        </w:rPr>
      </w:pPr>
    </w:p>
    <w:p w:rsidR="009F4249" w:rsidRDefault="007F2780" w:rsidP="009F4249">
      <w:pPr>
        <w:jc w:val="both"/>
        <w:outlineLvl w:val="0"/>
        <w:rPr>
          <w:sz w:val="22"/>
          <w:szCs w:val="22"/>
        </w:rPr>
      </w:pPr>
      <w:r>
        <w:rPr>
          <w:sz w:val="22"/>
          <w:szCs w:val="22"/>
        </w:rPr>
        <w:t xml:space="preserve">Stanje novčanih sredstava na dan </w:t>
      </w:r>
      <w:r w:rsidR="006F5E4C">
        <w:rPr>
          <w:sz w:val="22"/>
          <w:szCs w:val="22"/>
        </w:rPr>
        <w:t>30</w:t>
      </w:r>
      <w:r>
        <w:rPr>
          <w:sz w:val="22"/>
          <w:szCs w:val="22"/>
        </w:rPr>
        <w:t>.</w:t>
      </w:r>
      <w:r w:rsidR="006F5E4C">
        <w:rPr>
          <w:sz w:val="22"/>
          <w:szCs w:val="22"/>
        </w:rPr>
        <w:t>06</w:t>
      </w:r>
      <w:r>
        <w:rPr>
          <w:sz w:val="22"/>
          <w:szCs w:val="22"/>
        </w:rPr>
        <w:t xml:space="preserve">.2024. godine iznosi: </w:t>
      </w:r>
      <w:r w:rsidRPr="007F2780">
        <w:rPr>
          <w:b/>
          <w:sz w:val="22"/>
          <w:szCs w:val="22"/>
        </w:rPr>
        <w:t>551.192,10 EUR</w:t>
      </w:r>
      <w:r>
        <w:rPr>
          <w:sz w:val="22"/>
          <w:szCs w:val="22"/>
        </w:rPr>
        <w:t xml:space="preserve"> i to gotovine u blagajni 36,14 EUR i novac na žiroračunu PBZ 551.155,96 EUR.</w:t>
      </w:r>
    </w:p>
    <w:p w:rsidR="009F4249" w:rsidRDefault="009F4249" w:rsidP="009F4249">
      <w:pPr>
        <w:jc w:val="both"/>
        <w:outlineLvl w:val="0"/>
        <w:rPr>
          <w:sz w:val="22"/>
          <w:szCs w:val="22"/>
        </w:rPr>
      </w:pPr>
    </w:p>
    <w:p w:rsidR="009F4249" w:rsidRPr="002D460F" w:rsidRDefault="009F4249" w:rsidP="002D460F">
      <w:pPr>
        <w:pStyle w:val="Odlomakpopisa"/>
        <w:numPr>
          <w:ilvl w:val="0"/>
          <w:numId w:val="21"/>
        </w:numPr>
        <w:jc w:val="both"/>
        <w:outlineLvl w:val="0"/>
        <w:rPr>
          <w:sz w:val="22"/>
          <w:szCs w:val="22"/>
        </w:rPr>
      </w:pPr>
      <w:r w:rsidRPr="007F2780">
        <w:rPr>
          <w:b/>
          <w:sz w:val="22"/>
          <w:szCs w:val="22"/>
        </w:rPr>
        <w:t>PRIHODI POSLOVANJA</w:t>
      </w:r>
      <w:r w:rsidR="00E96184" w:rsidRPr="007F2780">
        <w:rPr>
          <w:b/>
          <w:sz w:val="22"/>
          <w:szCs w:val="22"/>
        </w:rPr>
        <w:t xml:space="preserve"> = </w:t>
      </w:r>
      <w:r w:rsidR="00191E8B">
        <w:rPr>
          <w:b/>
          <w:sz w:val="22"/>
          <w:szCs w:val="22"/>
        </w:rPr>
        <w:t xml:space="preserve">792.867,05 </w:t>
      </w:r>
      <w:r w:rsidR="00E81E56">
        <w:rPr>
          <w:b/>
          <w:sz w:val="22"/>
          <w:szCs w:val="22"/>
        </w:rPr>
        <w:t>EUR</w:t>
      </w:r>
    </w:p>
    <w:p w:rsidR="002D460F" w:rsidRDefault="002D460F" w:rsidP="002D460F">
      <w:pPr>
        <w:jc w:val="both"/>
        <w:outlineLvl w:val="0"/>
        <w:rPr>
          <w:sz w:val="22"/>
          <w:szCs w:val="22"/>
        </w:rPr>
      </w:pPr>
    </w:p>
    <w:p w:rsidR="002D460F" w:rsidRDefault="002D460F" w:rsidP="002D460F">
      <w:pPr>
        <w:jc w:val="both"/>
        <w:outlineLvl w:val="0"/>
        <w:rPr>
          <w:sz w:val="22"/>
          <w:szCs w:val="22"/>
        </w:rPr>
      </w:pPr>
      <w:r>
        <w:rPr>
          <w:sz w:val="22"/>
          <w:szCs w:val="22"/>
        </w:rPr>
        <w:t xml:space="preserve">Najznačajniji prihod poslovanja je prihod od </w:t>
      </w:r>
      <w:r w:rsidR="00191E8B">
        <w:rPr>
          <w:sz w:val="22"/>
          <w:szCs w:val="22"/>
        </w:rPr>
        <w:t>325</w:t>
      </w:r>
      <w:r>
        <w:rPr>
          <w:sz w:val="22"/>
          <w:szCs w:val="22"/>
        </w:rPr>
        <w:t>.</w:t>
      </w:r>
      <w:r w:rsidR="00191E8B">
        <w:rPr>
          <w:sz w:val="22"/>
          <w:szCs w:val="22"/>
        </w:rPr>
        <w:t>321</w:t>
      </w:r>
      <w:r>
        <w:rPr>
          <w:sz w:val="22"/>
          <w:szCs w:val="22"/>
        </w:rPr>
        <w:t>,2</w:t>
      </w:r>
      <w:r w:rsidR="00191E8B">
        <w:rPr>
          <w:sz w:val="22"/>
          <w:szCs w:val="22"/>
        </w:rPr>
        <w:t>4</w:t>
      </w:r>
      <w:r>
        <w:rPr>
          <w:sz w:val="22"/>
          <w:szCs w:val="22"/>
        </w:rPr>
        <w:t xml:space="preserve">EUR kapitalnih pomoći temeljem prijenosa EU sredstava, a radi se isplati predujma za izgradnju matičnog vrtića u </w:t>
      </w:r>
      <w:proofErr w:type="spellStart"/>
      <w:r>
        <w:rPr>
          <w:sz w:val="22"/>
          <w:szCs w:val="22"/>
        </w:rPr>
        <w:t>Vratišincu</w:t>
      </w:r>
      <w:proofErr w:type="spellEnd"/>
      <w:r w:rsidR="00191E8B">
        <w:rPr>
          <w:sz w:val="22"/>
          <w:szCs w:val="22"/>
        </w:rPr>
        <w:t xml:space="preserve"> i 38.639,98 EUR po podnesenom zahtjevu za plaćanje Ministarstvu.</w:t>
      </w:r>
      <w:r w:rsidR="00CE13E9">
        <w:rPr>
          <w:sz w:val="22"/>
          <w:szCs w:val="22"/>
        </w:rPr>
        <w:t xml:space="preserve"> </w:t>
      </w:r>
      <w:r>
        <w:rPr>
          <w:sz w:val="22"/>
          <w:szCs w:val="22"/>
        </w:rPr>
        <w:t xml:space="preserve">Navedeno predstavlja </w:t>
      </w:r>
      <w:r w:rsidR="00CE13E9">
        <w:rPr>
          <w:sz w:val="22"/>
          <w:szCs w:val="22"/>
        </w:rPr>
        <w:t>41,03</w:t>
      </w:r>
      <w:r>
        <w:rPr>
          <w:sz w:val="22"/>
          <w:szCs w:val="22"/>
        </w:rPr>
        <w:t>% Prihoda poslovanja u navedenom razdoblju.</w:t>
      </w:r>
    </w:p>
    <w:p w:rsidR="00CE13E9" w:rsidRDefault="00CE13E9" w:rsidP="002D460F">
      <w:pPr>
        <w:jc w:val="both"/>
        <w:outlineLvl w:val="0"/>
        <w:rPr>
          <w:sz w:val="22"/>
          <w:szCs w:val="22"/>
        </w:rPr>
      </w:pPr>
      <w:r>
        <w:rPr>
          <w:sz w:val="22"/>
          <w:szCs w:val="22"/>
        </w:rPr>
        <w:t>Kod poreza na promet nekretnina povećanje u iznosu od 9.911,33 eura što je vidljivi znak da građani kupuju nekretnine i zemljišta.</w:t>
      </w:r>
    </w:p>
    <w:p w:rsidR="00CE13E9" w:rsidRDefault="00CE13E9" w:rsidP="002D460F">
      <w:pPr>
        <w:jc w:val="both"/>
        <w:outlineLvl w:val="0"/>
        <w:rPr>
          <w:sz w:val="22"/>
          <w:szCs w:val="22"/>
        </w:rPr>
      </w:pPr>
      <w:r>
        <w:rPr>
          <w:sz w:val="22"/>
          <w:szCs w:val="22"/>
        </w:rPr>
        <w:t>6331 – povećanje za 126,5% - u prethodnom razdoblju 2023. godine nije bilo Odluke o fiskalnoj održivosti za vrtiće. S osnova navedenog uprihođeno je u izvještajnom razdoblju 9.942,00 EUR. Također veći je i iznos mjesečnog fiskalnog izravnanja u odnosu na 2023. godinu.</w:t>
      </w:r>
    </w:p>
    <w:p w:rsidR="00785ECD" w:rsidRPr="00666710" w:rsidRDefault="00785ECD" w:rsidP="002D460F">
      <w:pPr>
        <w:jc w:val="both"/>
        <w:outlineLvl w:val="0"/>
        <w:rPr>
          <w:b/>
          <w:sz w:val="22"/>
          <w:szCs w:val="22"/>
        </w:rPr>
      </w:pPr>
    </w:p>
    <w:p w:rsidR="00785ECD" w:rsidRPr="00666710" w:rsidRDefault="00785ECD" w:rsidP="00785ECD">
      <w:pPr>
        <w:pStyle w:val="Odlomakpopisa"/>
        <w:numPr>
          <w:ilvl w:val="0"/>
          <w:numId w:val="21"/>
        </w:numPr>
        <w:jc w:val="both"/>
        <w:outlineLvl w:val="0"/>
        <w:rPr>
          <w:b/>
          <w:sz w:val="22"/>
          <w:szCs w:val="22"/>
        </w:rPr>
      </w:pPr>
      <w:r w:rsidRPr="00666710">
        <w:rPr>
          <w:b/>
          <w:sz w:val="22"/>
          <w:szCs w:val="22"/>
        </w:rPr>
        <w:t xml:space="preserve">RASHODI POSLOVANJA = </w:t>
      </w:r>
      <w:r w:rsidR="007C77D7">
        <w:rPr>
          <w:b/>
          <w:sz w:val="22"/>
          <w:szCs w:val="22"/>
        </w:rPr>
        <w:t>269</w:t>
      </w:r>
      <w:r w:rsidRPr="00666710">
        <w:rPr>
          <w:b/>
          <w:sz w:val="22"/>
          <w:szCs w:val="22"/>
        </w:rPr>
        <w:t>.</w:t>
      </w:r>
      <w:r w:rsidR="007C77D7">
        <w:rPr>
          <w:b/>
          <w:sz w:val="22"/>
          <w:szCs w:val="22"/>
        </w:rPr>
        <w:t>039</w:t>
      </w:r>
      <w:r w:rsidRPr="00666710">
        <w:rPr>
          <w:b/>
          <w:sz w:val="22"/>
          <w:szCs w:val="22"/>
        </w:rPr>
        <w:t>,</w:t>
      </w:r>
      <w:r w:rsidR="007C77D7">
        <w:rPr>
          <w:b/>
          <w:sz w:val="22"/>
          <w:szCs w:val="22"/>
        </w:rPr>
        <w:t>66</w:t>
      </w:r>
      <w:r w:rsidRPr="00666710">
        <w:rPr>
          <w:b/>
          <w:sz w:val="22"/>
          <w:szCs w:val="22"/>
        </w:rPr>
        <w:t xml:space="preserve"> EUR</w:t>
      </w:r>
    </w:p>
    <w:p w:rsidR="00E81E56" w:rsidRDefault="00E81E56" w:rsidP="00666710">
      <w:pPr>
        <w:jc w:val="both"/>
        <w:outlineLvl w:val="0"/>
        <w:rPr>
          <w:sz w:val="22"/>
          <w:szCs w:val="22"/>
        </w:rPr>
      </w:pPr>
    </w:p>
    <w:p w:rsidR="00E81E56" w:rsidRDefault="00E81E56" w:rsidP="00666710">
      <w:pPr>
        <w:jc w:val="both"/>
        <w:outlineLvl w:val="0"/>
        <w:rPr>
          <w:sz w:val="22"/>
          <w:szCs w:val="22"/>
        </w:rPr>
      </w:pPr>
      <w:r>
        <w:rPr>
          <w:sz w:val="22"/>
          <w:szCs w:val="22"/>
        </w:rPr>
        <w:t xml:space="preserve">U odnosu na prethodnu godinu povećanje kod plaća za prekovremeni rad, u 2023. godini trošak se većinom odnosi na prekovremeni rad za sjednice Općinskog vijeća, a u 2024. godini dostavljačica-spremačica obavlja prekovremeni rad čišćenja grobne naknade prilikom potrebe za ceremonijom ukopa. </w:t>
      </w:r>
    </w:p>
    <w:p w:rsidR="00E81E56" w:rsidRDefault="00E81E56" w:rsidP="00666710">
      <w:pPr>
        <w:jc w:val="both"/>
        <w:outlineLvl w:val="0"/>
        <w:rPr>
          <w:sz w:val="22"/>
          <w:szCs w:val="22"/>
        </w:rPr>
      </w:pPr>
      <w:r>
        <w:rPr>
          <w:sz w:val="22"/>
          <w:szCs w:val="22"/>
        </w:rPr>
        <w:t xml:space="preserve">U izvještajnom razdoblju načelnik je 2x otputovao u Zagreb za što mu je isplaćeno 268,30 EUR (3211). </w:t>
      </w:r>
    </w:p>
    <w:p w:rsidR="00E81E56" w:rsidRDefault="00E81E56" w:rsidP="00666710">
      <w:pPr>
        <w:jc w:val="both"/>
        <w:outlineLvl w:val="0"/>
        <w:rPr>
          <w:sz w:val="22"/>
          <w:szCs w:val="22"/>
        </w:rPr>
      </w:pPr>
      <w:r>
        <w:rPr>
          <w:sz w:val="22"/>
          <w:szCs w:val="22"/>
        </w:rPr>
        <w:t xml:space="preserve">Konto 3224 značajnije povećanje zbog nabavke materijala (robe) u vrijednosti od 2.582,44 EUR za DVD Gornji </w:t>
      </w:r>
      <w:proofErr w:type="spellStart"/>
      <w:r>
        <w:rPr>
          <w:sz w:val="22"/>
          <w:szCs w:val="22"/>
        </w:rPr>
        <w:t>Kraljevec</w:t>
      </w:r>
      <w:proofErr w:type="spellEnd"/>
      <w:r>
        <w:rPr>
          <w:sz w:val="22"/>
          <w:szCs w:val="22"/>
        </w:rPr>
        <w:t xml:space="preserve"> koji će vlastitim radom urediti svoje podrumske prostorije.</w:t>
      </w:r>
    </w:p>
    <w:p w:rsidR="00E81E56" w:rsidRDefault="00E81E56" w:rsidP="00666710">
      <w:pPr>
        <w:jc w:val="both"/>
        <w:outlineLvl w:val="0"/>
        <w:rPr>
          <w:sz w:val="22"/>
          <w:szCs w:val="22"/>
        </w:rPr>
      </w:pPr>
      <w:r>
        <w:rPr>
          <w:sz w:val="22"/>
          <w:szCs w:val="22"/>
        </w:rPr>
        <w:t xml:space="preserve">Zbog radova na uklanjanju spomenika na mjesnom groblju u </w:t>
      </w:r>
      <w:proofErr w:type="spellStart"/>
      <w:r>
        <w:rPr>
          <w:sz w:val="22"/>
          <w:szCs w:val="22"/>
        </w:rPr>
        <w:t>Vratišincu</w:t>
      </w:r>
      <w:proofErr w:type="spellEnd"/>
      <w:r>
        <w:rPr>
          <w:sz w:val="22"/>
          <w:szCs w:val="22"/>
        </w:rPr>
        <w:t xml:space="preserve"> dolazi do povećanja na kontu 3232 Usluge tekućeg i investicijskog održavanja. </w:t>
      </w:r>
      <w:r w:rsidR="004F4267">
        <w:rPr>
          <w:sz w:val="22"/>
          <w:szCs w:val="22"/>
        </w:rPr>
        <w:t xml:space="preserve">Povećanje kod usluge promidžbe zbog konta Tisak – objave u NN za pomoćnog radnika i pročelnika (Javni natječaji), objave u Službenim glasnicima i dr. </w:t>
      </w:r>
    </w:p>
    <w:p w:rsidR="00E81E56" w:rsidRDefault="004F4267" w:rsidP="00666710">
      <w:pPr>
        <w:jc w:val="both"/>
        <w:outlineLvl w:val="0"/>
        <w:rPr>
          <w:sz w:val="22"/>
          <w:szCs w:val="22"/>
        </w:rPr>
      </w:pPr>
      <w:r>
        <w:rPr>
          <w:sz w:val="22"/>
          <w:szCs w:val="22"/>
        </w:rPr>
        <w:t xml:space="preserve">U 2023. godini obavljanje zimske službe iznosilo je 3.750,00 EUR, a u izvještajnoj razdoblju iznosi 5.000,00 EUR stoga dolazi do povećanja. Usluga zajedničkog komunalnog redara u 2024. godini na mjesečnoj se bazi povećala. Povećanje kod konta 3299 iz razloga jer se u ovom obračunskom razdoblju na konto 32999 knjiži naplata 1% i 5% prihoda, a dosada se knjižili na 3434, pa stoga i na navedenom kontu dolazi do smanjenja. </w:t>
      </w:r>
    </w:p>
    <w:p w:rsidR="00AC2A05" w:rsidRDefault="00AC2A05" w:rsidP="00666710">
      <w:pPr>
        <w:jc w:val="both"/>
        <w:outlineLvl w:val="0"/>
        <w:rPr>
          <w:sz w:val="22"/>
          <w:szCs w:val="22"/>
        </w:rPr>
      </w:pPr>
      <w:r>
        <w:rPr>
          <w:sz w:val="22"/>
          <w:szCs w:val="22"/>
        </w:rPr>
        <w:t>35.276,27 EUR – konto 3512 – dosad su se navedeni rashodi za sufinanciranje privatnih vrtića knjižila na 3811, a sada u ovom izvještajnom razdoblju, odnosno po donošenju rebalansa proknjiženo je na ispravni konto.</w:t>
      </w:r>
    </w:p>
    <w:p w:rsidR="00AC2A05" w:rsidRDefault="00AC2A05" w:rsidP="00666710">
      <w:pPr>
        <w:jc w:val="both"/>
        <w:outlineLvl w:val="0"/>
        <w:rPr>
          <w:sz w:val="22"/>
          <w:szCs w:val="22"/>
        </w:rPr>
      </w:pPr>
      <w:r>
        <w:rPr>
          <w:sz w:val="22"/>
          <w:szCs w:val="22"/>
        </w:rPr>
        <w:t>3631 – na ispravni konto proknjižena sredstva za JVP Čakovec, a dosada je bilo na 3811.</w:t>
      </w:r>
    </w:p>
    <w:p w:rsidR="00AC2A05" w:rsidRDefault="00AC2A05" w:rsidP="00666710">
      <w:pPr>
        <w:jc w:val="both"/>
        <w:outlineLvl w:val="0"/>
        <w:rPr>
          <w:sz w:val="22"/>
          <w:szCs w:val="22"/>
        </w:rPr>
      </w:pPr>
      <w:r>
        <w:rPr>
          <w:sz w:val="22"/>
          <w:szCs w:val="22"/>
        </w:rPr>
        <w:t>3661 – odnosi se na sufinanciranje boravka djece u javnim vrtićima, a dosada se knjižilo na konto 3811.</w:t>
      </w:r>
    </w:p>
    <w:p w:rsidR="00AC2A05" w:rsidRDefault="00AC2A05" w:rsidP="00666710">
      <w:pPr>
        <w:jc w:val="both"/>
        <w:outlineLvl w:val="0"/>
        <w:rPr>
          <w:sz w:val="22"/>
          <w:szCs w:val="22"/>
        </w:rPr>
      </w:pPr>
      <w:r>
        <w:rPr>
          <w:sz w:val="22"/>
          <w:szCs w:val="22"/>
        </w:rPr>
        <w:t xml:space="preserve">Sukladno Sporazumu općina je isplatila 2.000,00 </w:t>
      </w:r>
      <w:proofErr w:type="spellStart"/>
      <w:r>
        <w:rPr>
          <w:sz w:val="22"/>
          <w:szCs w:val="22"/>
        </w:rPr>
        <w:t>eur</w:t>
      </w:r>
      <w:proofErr w:type="spellEnd"/>
      <w:r>
        <w:rPr>
          <w:sz w:val="22"/>
          <w:szCs w:val="22"/>
        </w:rPr>
        <w:t xml:space="preserve"> za nabavku kombi vozila za Centar za odgoj i obrazovanje Čakovec.</w:t>
      </w:r>
    </w:p>
    <w:p w:rsidR="00A00E86" w:rsidRDefault="00A00E86" w:rsidP="00666710">
      <w:pPr>
        <w:jc w:val="both"/>
        <w:outlineLvl w:val="0"/>
        <w:rPr>
          <w:sz w:val="22"/>
          <w:szCs w:val="22"/>
        </w:rPr>
      </w:pPr>
      <w:r>
        <w:rPr>
          <w:sz w:val="22"/>
          <w:szCs w:val="22"/>
        </w:rPr>
        <w:t>Višak prihoda poslovanja (X001) – 523.827,39 EUR</w:t>
      </w:r>
    </w:p>
    <w:p w:rsidR="007C77D7" w:rsidRDefault="007C77D7" w:rsidP="00666710">
      <w:pPr>
        <w:jc w:val="both"/>
        <w:outlineLvl w:val="0"/>
        <w:rPr>
          <w:sz w:val="22"/>
          <w:szCs w:val="22"/>
        </w:rPr>
      </w:pPr>
      <w:r>
        <w:rPr>
          <w:sz w:val="22"/>
          <w:szCs w:val="22"/>
        </w:rPr>
        <w:t>Višak prihoda poslovanja – preneseni iznosi 1.742.924,00 EUR.</w:t>
      </w:r>
    </w:p>
    <w:p w:rsidR="007C77D7" w:rsidRDefault="007C77D7" w:rsidP="00666710">
      <w:pPr>
        <w:jc w:val="both"/>
        <w:outlineLvl w:val="0"/>
        <w:rPr>
          <w:sz w:val="22"/>
          <w:szCs w:val="22"/>
        </w:rPr>
      </w:pPr>
      <w:r>
        <w:rPr>
          <w:sz w:val="22"/>
          <w:szCs w:val="22"/>
        </w:rPr>
        <w:t xml:space="preserve">Obračunati prihodi poslovanja – 37.783,48 EUR. </w:t>
      </w:r>
    </w:p>
    <w:p w:rsidR="00AC2A05" w:rsidRPr="00666710" w:rsidRDefault="00AC2A05" w:rsidP="00666710">
      <w:pPr>
        <w:jc w:val="both"/>
        <w:outlineLvl w:val="0"/>
        <w:rPr>
          <w:b/>
          <w:sz w:val="22"/>
          <w:szCs w:val="22"/>
        </w:rPr>
      </w:pPr>
    </w:p>
    <w:p w:rsidR="00666710" w:rsidRPr="00666710" w:rsidRDefault="00666710" w:rsidP="00666710">
      <w:pPr>
        <w:pStyle w:val="Odlomakpopisa"/>
        <w:numPr>
          <w:ilvl w:val="0"/>
          <w:numId w:val="21"/>
        </w:numPr>
        <w:jc w:val="both"/>
        <w:outlineLvl w:val="0"/>
        <w:rPr>
          <w:b/>
          <w:sz w:val="22"/>
          <w:szCs w:val="22"/>
        </w:rPr>
      </w:pPr>
      <w:r w:rsidRPr="00666710">
        <w:rPr>
          <w:b/>
          <w:sz w:val="22"/>
          <w:szCs w:val="22"/>
        </w:rPr>
        <w:t>PRIHODI OD PRODAJE NEFINANCIJSKE IMOVINE</w:t>
      </w:r>
      <w:r w:rsidR="007C77D7">
        <w:rPr>
          <w:b/>
          <w:sz w:val="22"/>
          <w:szCs w:val="22"/>
        </w:rPr>
        <w:t xml:space="preserve"> = 57.155,79 EUR</w:t>
      </w:r>
    </w:p>
    <w:p w:rsidR="00666710" w:rsidRDefault="00666710" w:rsidP="00666710">
      <w:pPr>
        <w:jc w:val="both"/>
        <w:outlineLvl w:val="0"/>
        <w:rPr>
          <w:sz w:val="22"/>
          <w:szCs w:val="22"/>
        </w:rPr>
      </w:pPr>
    </w:p>
    <w:p w:rsidR="00666710" w:rsidRDefault="00666710" w:rsidP="00666710">
      <w:pPr>
        <w:jc w:val="both"/>
        <w:outlineLvl w:val="0"/>
        <w:rPr>
          <w:sz w:val="22"/>
          <w:szCs w:val="22"/>
        </w:rPr>
      </w:pPr>
      <w:r>
        <w:rPr>
          <w:sz w:val="22"/>
          <w:szCs w:val="22"/>
        </w:rPr>
        <w:t xml:space="preserve">U izvještajnom razdoblju ostvareno je prihoda od prodaje nefinancijske imovine u iznosu od </w:t>
      </w:r>
      <w:r w:rsidR="007C77D7">
        <w:rPr>
          <w:sz w:val="22"/>
          <w:szCs w:val="22"/>
        </w:rPr>
        <w:t>57</w:t>
      </w:r>
      <w:r>
        <w:rPr>
          <w:sz w:val="22"/>
          <w:szCs w:val="22"/>
        </w:rPr>
        <w:t>.</w:t>
      </w:r>
      <w:r w:rsidR="007C77D7">
        <w:rPr>
          <w:sz w:val="22"/>
          <w:szCs w:val="22"/>
        </w:rPr>
        <w:t>155</w:t>
      </w:r>
      <w:r>
        <w:rPr>
          <w:sz w:val="22"/>
          <w:szCs w:val="22"/>
        </w:rPr>
        <w:t>,</w:t>
      </w:r>
      <w:r w:rsidR="007C77D7">
        <w:rPr>
          <w:sz w:val="22"/>
          <w:szCs w:val="22"/>
        </w:rPr>
        <w:t>79</w:t>
      </w:r>
      <w:r>
        <w:rPr>
          <w:sz w:val="22"/>
          <w:szCs w:val="22"/>
        </w:rPr>
        <w:t xml:space="preserve"> EUR i to 56.500,00 EUR od prodaje građevinskog zemljišta</w:t>
      </w:r>
      <w:r w:rsidR="00FD5AA8">
        <w:rPr>
          <w:sz w:val="22"/>
          <w:szCs w:val="22"/>
        </w:rPr>
        <w:t xml:space="preserve"> u vlasništvu općine </w:t>
      </w:r>
      <w:proofErr w:type="spellStart"/>
      <w:r w:rsidR="00FD5AA8">
        <w:rPr>
          <w:sz w:val="22"/>
          <w:szCs w:val="22"/>
        </w:rPr>
        <w:t>Vratišinec</w:t>
      </w:r>
      <w:proofErr w:type="spellEnd"/>
      <w:r w:rsidR="00FD5AA8">
        <w:rPr>
          <w:sz w:val="22"/>
          <w:szCs w:val="22"/>
        </w:rPr>
        <w:t xml:space="preserve"> i </w:t>
      </w:r>
      <w:r w:rsidR="007C77D7">
        <w:rPr>
          <w:sz w:val="22"/>
          <w:szCs w:val="22"/>
        </w:rPr>
        <w:t>655</w:t>
      </w:r>
      <w:r w:rsidR="00FD5AA8">
        <w:rPr>
          <w:sz w:val="22"/>
          <w:szCs w:val="22"/>
        </w:rPr>
        <w:t>,</w:t>
      </w:r>
      <w:r w:rsidR="007C77D7">
        <w:rPr>
          <w:sz w:val="22"/>
          <w:szCs w:val="22"/>
        </w:rPr>
        <w:t>79</w:t>
      </w:r>
      <w:r w:rsidR="00FD5AA8">
        <w:rPr>
          <w:sz w:val="22"/>
          <w:szCs w:val="22"/>
        </w:rPr>
        <w:t xml:space="preserve"> prihodi od prodaje stanova, stanarsko pravo.</w:t>
      </w:r>
    </w:p>
    <w:p w:rsidR="00FD5AA8" w:rsidRDefault="00FD5AA8" w:rsidP="00666710">
      <w:pPr>
        <w:jc w:val="both"/>
        <w:outlineLvl w:val="0"/>
        <w:rPr>
          <w:sz w:val="22"/>
          <w:szCs w:val="22"/>
        </w:rPr>
      </w:pPr>
    </w:p>
    <w:p w:rsidR="00FD5AA8" w:rsidRPr="00FD5AA8" w:rsidRDefault="00FD5AA8" w:rsidP="00FD5AA8">
      <w:pPr>
        <w:pStyle w:val="Odlomakpopisa"/>
        <w:numPr>
          <w:ilvl w:val="0"/>
          <w:numId w:val="21"/>
        </w:numPr>
        <w:jc w:val="both"/>
        <w:outlineLvl w:val="0"/>
        <w:rPr>
          <w:b/>
          <w:sz w:val="22"/>
          <w:szCs w:val="22"/>
        </w:rPr>
      </w:pPr>
      <w:r w:rsidRPr="00FD5AA8">
        <w:rPr>
          <w:b/>
          <w:sz w:val="22"/>
          <w:szCs w:val="22"/>
        </w:rPr>
        <w:t>RASHODI ZA NABAVU NEFINANCIJSKE IMOVINE</w:t>
      </w:r>
    </w:p>
    <w:p w:rsidR="00FD5AA8" w:rsidRDefault="00FD5AA8" w:rsidP="00FD5AA8">
      <w:pPr>
        <w:jc w:val="both"/>
        <w:outlineLvl w:val="0"/>
        <w:rPr>
          <w:sz w:val="22"/>
          <w:szCs w:val="22"/>
        </w:rPr>
      </w:pPr>
    </w:p>
    <w:p w:rsidR="00FD5AA8" w:rsidRDefault="00FD5AA8" w:rsidP="00FD5AA8">
      <w:pPr>
        <w:jc w:val="both"/>
        <w:outlineLvl w:val="0"/>
        <w:rPr>
          <w:sz w:val="22"/>
          <w:szCs w:val="22"/>
        </w:rPr>
      </w:pPr>
      <w:r>
        <w:rPr>
          <w:sz w:val="22"/>
          <w:szCs w:val="22"/>
        </w:rPr>
        <w:t xml:space="preserve">Ukupni rashodi za nabavu nefinancijske imovine iznose </w:t>
      </w:r>
      <w:r w:rsidR="007C77D7">
        <w:rPr>
          <w:sz w:val="22"/>
          <w:szCs w:val="22"/>
        </w:rPr>
        <w:t xml:space="preserve">1.016.664,53 </w:t>
      </w:r>
      <w:r>
        <w:rPr>
          <w:sz w:val="22"/>
          <w:szCs w:val="22"/>
        </w:rPr>
        <w:t>EUR. Najznačajniji udio odnosi se</w:t>
      </w:r>
      <w:r w:rsidR="007C77D7">
        <w:rPr>
          <w:sz w:val="22"/>
          <w:szCs w:val="22"/>
        </w:rPr>
        <w:t xml:space="preserve"> na rashode za poslovne objekte, odnosno za rashode za izgradnju matičnog vrtića u </w:t>
      </w:r>
      <w:proofErr w:type="spellStart"/>
      <w:r w:rsidR="007C77D7">
        <w:rPr>
          <w:sz w:val="22"/>
          <w:szCs w:val="22"/>
        </w:rPr>
        <w:t>Vratišincu</w:t>
      </w:r>
      <w:proofErr w:type="spellEnd"/>
      <w:r w:rsidR="007C77D7">
        <w:rPr>
          <w:sz w:val="22"/>
          <w:szCs w:val="22"/>
        </w:rPr>
        <w:t xml:space="preserve">. </w:t>
      </w:r>
    </w:p>
    <w:p w:rsidR="00FD5AA8" w:rsidRDefault="00FD5AA8" w:rsidP="00FD5AA8">
      <w:pPr>
        <w:jc w:val="both"/>
        <w:outlineLvl w:val="0"/>
        <w:rPr>
          <w:sz w:val="22"/>
          <w:szCs w:val="22"/>
        </w:rPr>
      </w:pPr>
    </w:p>
    <w:p w:rsidR="007C77D7" w:rsidRDefault="007C77D7" w:rsidP="00FD5AA8">
      <w:pPr>
        <w:jc w:val="both"/>
        <w:outlineLvl w:val="0"/>
        <w:rPr>
          <w:sz w:val="22"/>
          <w:szCs w:val="22"/>
        </w:rPr>
      </w:pPr>
      <w:r>
        <w:rPr>
          <w:sz w:val="22"/>
          <w:szCs w:val="22"/>
        </w:rPr>
        <w:lastRenderedPageBreak/>
        <w:t xml:space="preserve">Za radove na stanu, Školska ulica, fasada utrošeno je 5.034,22 EUR. Za izgradnju dječjeg vrtića, stručni nadzor za isto, uslugu koordinatora 2, provođenje projekta odnosno poslovno savjetovanje utrošeno 948.397,44 EUR. Na prostore dentalne ordinacije Zgrade škole ugrađena klima u vrijednosti 1.277,50 EUR. </w:t>
      </w:r>
    </w:p>
    <w:p w:rsidR="007C77D7" w:rsidRDefault="007C77D7" w:rsidP="00FD5AA8">
      <w:pPr>
        <w:jc w:val="both"/>
        <w:outlineLvl w:val="0"/>
        <w:rPr>
          <w:sz w:val="22"/>
          <w:szCs w:val="22"/>
        </w:rPr>
      </w:pPr>
      <w:r>
        <w:rPr>
          <w:sz w:val="22"/>
          <w:szCs w:val="22"/>
        </w:rPr>
        <w:t xml:space="preserve">Za drugu polovicu navodnjavanja terena NK Sokol utrošeno je 5.464,01 EUR, a za izradu nadstrešnice na igralištu 3.740,37 EUR. </w:t>
      </w:r>
    </w:p>
    <w:p w:rsidR="007C77D7" w:rsidRDefault="007C77D7" w:rsidP="00FD5AA8">
      <w:pPr>
        <w:jc w:val="both"/>
        <w:outlineLvl w:val="0"/>
        <w:rPr>
          <w:sz w:val="22"/>
          <w:szCs w:val="22"/>
        </w:rPr>
      </w:pPr>
      <w:r>
        <w:rPr>
          <w:sz w:val="22"/>
          <w:szCs w:val="22"/>
        </w:rPr>
        <w:t xml:space="preserve">Za ceste – odnosno Školsku ulicu, nastavak 72m ukupno utrošeno 32.600,99 </w:t>
      </w:r>
      <w:proofErr w:type="spellStart"/>
      <w:r>
        <w:rPr>
          <w:sz w:val="22"/>
          <w:szCs w:val="22"/>
        </w:rPr>
        <w:t>eur</w:t>
      </w:r>
      <w:proofErr w:type="spellEnd"/>
      <w:r>
        <w:rPr>
          <w:sz w:val="22"/>
          <w:szCs w:val="22"/>
        </w:rPr>
        <w:t>. U izvještajnom razdoblju nabavljena je oprema ukupne vrijednosti 18.997,50 EUR (stolice 100kom, rashladna vitrina za groblje, drvene garniture, skladišni regali i dr.) Također klima je ugrađena i na zgradi mrtvačnice vrijednosti 1.152,50 EUR.</w:t>
      </w:r>
    </w:p>
    <w:p w:rsidR="00FD5AA8" w:rsidRDefault="00FD5AA8" w:rsidP="00FD5AA8">
      <w:pPr>
        <w:jc w:val="both"/>
        <w:outlineLvl w:val="0"/>
        <w:rPr>
          <w:sz w:val="22"/>
          <w:szCs w:val="22"/>
        </w:rPr>
      </w:pPr>
    </w:p>
    <w:p w:rsidR="00FD5AA8" w:rsidRDefault="00FD5AA8" w:rsidP="00FD5AA8">
      <w:pPr>
        <w:jc w:val="both"/>
        <w:outlineLvl w:val="0"/>
        <w:rPr>
          <w:sz w:val="22"/>
          <w:szCs w:val="22"/>
        </w:rPr>
      </w:pPr>
      <w:r>
        <w:rPr>
          <w:sz w:val="22"/>
          <w:szCs w:val="22"/>
        </w:rPr>
        <w:t xml:space="preserve">Ostvaren je manjak prihoda od nefinancijske imovine u iznosu od </w:t>
      </w:r>
      <w:r w:rsidR="00A00E86">
        <w:rPr>
          <w:sz w:val="22"/>
          <w:szCs w:val="22"/>
        </w:rPr>
        <w:t>959.508,74</w:t>
      </w:r>
      <w:r>
        <w:rPr>
          <w:sz w:val="22"/>
          <w:szCs w:val="22"/>
        </w:rPr>
        <w:t xml:space="preserve"> EUR (Y002)</w:t>
      </w:r>
    </w:p>
    <w:p w:rsidR="00FD5AA8" w:rsidRDefault="00FD5AA8" w:rsidP="00FD5AA8">
      <w:pPr>
        <w:jc w:val="both"/>
        <w:outlineLvl w:val="0"/>
        <w:rPr>
          <w:sz w:val="22"/>
          <w:szCs w:val="22"/>
        </w:rPr>
      </w:pPr>
      <w:r>
        <w:rPr>
          <w:sz w:val="22"/>
          <w:szCs w:val="22"/>
        </w:rPr>
        <w:t>Manjak prihoda od nefinancijske imovine preneseni iznosi: 1.542.506,46 EUR.</w:t>
      </w:r>
    </w:p>
    <w:p w:rsidR="00FD5AA8" w:rsidRDefault="00FD5AA8" w:rsidP="00FD5AA8">
      <w:pPr>
        <w:jc w:val="both"/>
        <w:outlineLvl w:val="0"/>
        <w:rPr>
          <w:sz w:val="22"/>
          <w:szCs w:val="22"/>
        </w:rPr>
      </w:pPr>
      <w:r>
        <w:rPr>
          <w:sz w:val="22"/>
          <w:szCs w:val="22"/>
        </w:rPr>
        <w:t xml:space="preserve">Kredita općina </w:t>
      </w:r>
      <w:proofErr w:type="spellStart"/>
      <w:r>
        <w:rPr>
          <w:sz w:val="22"/>
          <w:szCs w:val="22"/>
        </w:rPr>
        <w:t>Vratišinec</w:t>
      </w:r>
      <w:proofErr w:type="spellEnd"/>
      <w:r>
        <w:rPr>
          <w:sz w:val="22"/>
          <w:szCs w:val="22"/>
        </w:rPr>
        <w:t xml:space="preserve"> nema.</w:t>
      </w:r>
      <w:r w:rsidR="00A00E86">
        <w:rPr>
          <w:sz w:val="22"/>
          <w:szCs w:val="22"/>
        </w:rPr>
        <w:t xml:space="preserve"> Podnijet je Zahtjev za kreditno zaduženje.</w:t>
      </w:r>
    </w:p>
    <w:p w:rsidR="00A00E86" w:rsidRDefault="00A00E86" w:rsidP="00FD5AA8">
      <w:pPr>
        <w:jc w:val="both"/>
        <w:outlineLvl w:val="0"/>
        <w:rPr>
          <w:sz w:val="22"/>
          <w:szCs w:val="22"/>
        </w:rPr>
      </w:pPr>
    </w:p>
    <w:p w:rsidR="00FD5AA8" w:rsidRDefault="006666EC" w:rsidP="00FD5AA8">
      <w:pPr>
        <w:jc w:val="both"/>
        <w:outlineLvl w:val="0"/>
        <w:rPr>
          <w:sz w:val="22"/>
          <w:szCs w:val="22"/>
        </w:rPr>
      </w:pPr>
      <w:r>
        <w:rPr>
          <w:sz w:val="22"/>
          <w:szCs w:val="22"/>
        </w:rPr>
        <w:t>Manjak primitaka od financijske imovine preneseni iznosi 19.539,33 EUR (92223).</w:t>
      </w:r>
    </w:p>
    <w:p w:rsidR="00FD5AA8" w:rsidRDefault="00FD5AA8" w:rsidP="00FD5AA8">
      <w:pPr>
        <w:jc w:val="both"/>
        <w:outlineLvl w:val="0"/>
        <w:rPr>
          <w:sz w:val="22"/>
          <w:szCs w:val="22"/>
        </w:rPr>
      </w:pPr>
    </w:p>
    <w:p w:rsidR="00FD5AA8" w:rsidRDefault="006666EC" w:rsidP="00FD5AA8">
      <w:pPr>
        <w:jc w:val="both"/>
        <w:outlineLvl w:val="0"/>
        <w:rPr>
          <w:sz w:val="22"/>
          <w:szCs w:val="22"/>
        </w:rPr>
      </w:pPr>
      <w:r>
        <w:rPr>
          <w:sz w:val="22"/>
          <w:szCs w:val="22"/>
        </w:rPr>
        <w:t xml:space="preserve">Na kraju </w:t>
      </w:r>
      <w:r w:rsidR="00A00E86">
        <w:rPr>
          <w:sz w:val="22"/>
          <w:szCs w:val="22"/>
        </w:rPr>
        <w:t>30</w:t>
      </w:r>
      <w:r>
        <w:rPr>
          <w:sz w:val="22"/>
          <w:szCs w:val="22"/>
        </w:rPr>
        <w:t>.</w:t>
      </w:r>
      <w:r w:rsidR="00A00E86">
        <w:rPr>
          <w:sz w:val="22"/>
          <w:szCs w:val="22"/>
        </w:rPr>
        <w:t>06</w:t>
      </w:r>
      <w:r>
        <w:rPr>
          <w:sz w:val="22"/>
          <w:szCs w:val="22"/>
        </w:rPr>
        <w:t xml:space="preserve">.2024. godine ukupni prihodi i primici iznose: </w:t>
      </w:r>
      <w:r w:rsidR="00A00E86">
        <w:rPr>
          <w:sz w:val="22"/>
          <w:szCs w:val="22"/>
        </w:rPr>
        <w:t>850</w:t>
      </w:r>
      <w:r>
        <w:rPr>
          <w:sz w:val="22"/>
          <w:szCs w:val="22"/>
        </w:rPr>
        <w:t>.</w:t>
      </w:r>
      <w:r w:rsidR="00A00E86">
        <w:rPr>
          <w:sz w:val="22"/>
          <w:szCs w:val="22"/>
        </w:rPr>
        <w:t>022</w:t>
      </w:r>
      <w:r>
        <w:rPr>
          <w:sz w:val="22"/>
          <w:szCs w:val="22"/>
        </w:rPr>
        <w:t>,</w:t>
      </w:r>
      <w:r w:rsidR="00A00E86">
        <w:rPr>
          <w:sz w:val="22"/>
          <w:szCs w:val="22"/>
        </w:rPr>
        <w:t>84</w:t>
      </w:r>
      <w:r>
        <w:rPr>
          <w:sz w:val="22"/>
          <w:szCs w:val="22"/>
        </w:rPr>
        <w:t xml:space="preserve"> EUR, ukupni rashodi i izdaci </w:t>
      </w:r>
      <w:r w:rsidR="00A00E86">
        <w:rPr>
          <w:sz w:val="22"/>
          <w:szCs w:val="22"/>
        </w:rPr>
        <w:t>1.285</w:t>
      </w:r>
      <w:r>
        <w:rPr>
          <w:sz w:val="22"/>
          <w:szCs w:val="22"/>
        </w:rPr>
        <w:t>.</w:t>
      </w:r>
      <w:r w:rsidR="00A00E86">
        <w:rPr>
          <w:sz w:val="22"/>
          <w:szCs w:val="22"/>
        </w:rPr>
        <w:t>704</w:t>
      </w:r>
      <w:r>
        <w:rPr>
          <w:sz w:val="22"/>
          <w:szCs w:val="22"/>
        </w:rPr>
        <w:t>,</w:t>
      </w:r>
      <w:r w:rsidR="00A00E86">
        <w:rPr>
          <w:sz w:val="22"/>
          <w:szCs w:val="22"/>
        </w:rPr>
        <w:t>19</w:t>
      </w:r>
      <w:r>
        <w:rPr>
          <w:sz w:val="22"/>
          <w:szCs w:val="22"/>
        </w:rPr>
        <w:t xml:space="preserve"> EUR. </w:t>
      </w:r>
      <w:r w:rsidR="005B4D0C">
        <w:rPr>
          <w:sz w:val="22"/>
          <w:szCs w:val="22"/>
        </w:rPr>
        <w:t>U izvještajnom periodu ostvaren je manjak prihoda i primitaka u iznosu od 435.681,35 EUR. Višak prihoda preneseni iznosi 180.878,21 EUR, a na kraju izvještajnog razdoblja ostvaren je manjak za pokriće u sljedećem razdoblju u iznosu od 254.803,14 EUR.</w:t>
      </w:r>
    </w:p>
    <w:p w:rsidR="005B4D0C" w:rsidRDefault="005B4D0C" w:rsidP="00FD5AA8">
      <w:pPr>
        <w:jc w:val="both"/>
        <w:outlineLvl w:val="0"/>
        <w:rPr>
          <w:sz w:val="22"/>
          <w:szCs w:val="22"/>
        </w:rPr>
      </w:pPr>
    </w:p>
    <w:p w:rsidR="00FD5AA8" w:rsidRDefault="005B4D0C" w:rsidP="00FD5AA8">
      <w:pPr>
        <w:jc w:val="both"/>
        <w:outlineLvl w:val="0"/>
        <w:rPr>
          <w:sz w:val="22"/>
          <w:szCs w:val="22"/>
        </w:rPr>
      </w:pPr>
      <w:r>
        <w:rPr>
          <w:noProof/>
          <w:sz w:val="22"/>
          <w:szCs w:val="22"/>
        </w:rPr>
        <w:drawing>
          <wp:inline distT="0" distB="0" distL="0" distR="0">
            <wp:extent cx="5759450" cy="4224020"/>
            <wp:effectExtent l="0" t="0" r="0" b="508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4224020"/>
                    </a:xfrm>
                    <a:prstGeom prst="rect">
                      <a:avLst/>
                    </a:prstGeom>
                    <a:noFill/>
                    <a:ln>
                      <a:noFill/>
                    </a:ln>
                  </pic:spPr>
                </pic:pic>
              </a:graphicData>
            </a:graphic>
          </wp:inline>
        </w:drawing>
      </w:r>
    </w:p>
    <w:p w:rsidR="006666EC" w:rsidRDefault="006666EC" w:rsidP="00FD5AA8">
      <w:pPr>
        <w:jc w:val="both"/>
        <w:outlineLvl w:val="0"/>
        <w:rPr>
          <w:sz w:val="22"/>
          <w:szCs w:val="22"/>
        </w:rPr>
      </w:pPr>
    </w:p>
    <w:p w:rsidR="00FD5AA8" w:rsidRDefault="00FD5AA8" w:rsidP="00FD5AA8">
      <w:pPr>
        <w:tabs>
          <w:tab w:val="left" w:pos="3544"/>
        </w:tabs>
        <w:jc w:val="both"/>
        <w:outlineLvl w:val="0"/>
        <w:rPr>
          <w:sz w:val="22"/>
          <w:szCs w:val="22"/>
        </w:rPr>
      </w:pPr>
    </w:p>
    <w:p w:rsidR="006666EC" w:rsidRDefault="006666EC" w:rsidP="00FD5AA8">
      <w:pPr>
        <w:jc w:val="both"/>
        <w:outlineLvl w:val="0"/>
        <w:rPr>
          <w:sz w:val="22"/>
          <w:szCs w:val="22"/>
        </w:rPr>
      </w:pPr>
    </w:p>
    <w:p w:rsidR="005B4D0C" w:rsidRDefault="005B4D0C" w:rsidP="00FD5AA8">
      <w:pPr>
        <w:jc w:val="both"/>
        <w:outlineLvl w:val="0"/>
        <w:rPr>
          <w:sz w:val="22"/>
          <w:szCs w:val="22"/>
        </w:rPr>
      </w:pPr>
    </w:p>
    <w:p w:rsidR="005B4D0C" w:rsidRDefault="005B4D0C" w:rsidP="00FD5AA8">
      <w:pPr>
        <w:jc w:val="both"/>
        <w:outlineLvl w:val="0"/>
        <w:rPr>
          <w:sz w:val="22"/>
          <w:szCs w:val="22"/>
        </w:rPr>
      </w:pPr>
    </w:p>
    <w:p w:rsidR="005B4D0C" w:rsidRDefault="005B4D0C" w:rsidP="00FD5AA8">
      <w:pPr>
        <w:jc w:val="both"/>
        <w:outlineLvl w:val="0"/>
        <w:rPr>
          <w:sz w:val="22"/>
          <w:szCs w:val="22"/>
        </w:rPr>
      </w:pPr>
    </w:p>
    <w:p w:rsidR="005B4D0C" w:rsidRDefault="005B4D0C" w:rsidP="00FD5AA8">
      <w:pPr>
        <w:jc w:val="both"/>
        <w:outlineLvl w:val="0"/>
        <w:rPr>
          <w:sz w:val="22"/>
          <w:szCs w:val="22"/>
        </w:rPr>
      </w:pPr>
    </w:p>
    <w:p w:rsidR="006666EC" w:rsidRPr="006666EC" w:rsidRDefault="006666EC" w:rsidP="00FD5AA8">
      <w:pPr>
        <w:jc w:val="both"/>
        <w:outlineLvl w:val="0"/>
        <w:rPr>
          <w:sz w:val="22"/>
          <w:szCs w:val="22"/>
          <w:u w:val="single"/>
        </w:rPr>
      </w:pPr>
      <w:r w:rsidRPr="006666EC">
        <w:rPr>
          <w:sz w:val="22"/>
          <w:szCs w:val="22"/>
          <w:u w:val="single"/>
        </w:rPr>
        <w:lastRenderedPageBreak/>
        <w:t>Evidencija danih i primljenih jamstava</w:t>
      </w:r>
    </w:p>
    <w:p w:rsidR="006666EC" w:rsidRPr="00EC461A" w:rsidRDefault="006666EC" w:rsidP="00FD5AA8">
      <w:pPr>
        <w:jc w:val="both"/>
        <w:outlineLvl w:val="0"/>
        <w:rPr>
          <w:sz w:val="18"/>
          <w:szCs w:val="18"/>
        </w:rPr>
      </w:pPr>
    </w:p>
    <w:p w:rsidR="006666EC" w:rsidRDefault="006666EC" w:rsidP="00FD5AA8">
      <w:pPr>
        <w:jc w:val="both"/>
        <w:outlineLvl w:val="0"/>
        <w:rPr>
          <w:sz w:val="18"/>
          <w:szCs w:val="18"/>
        </w:rPr>
      </w:pPr>
      <w:r w:rsidRPr="00EC461A">
        <w:rPr>
          <w:sz w:val="18"/>
          <w:szCs w:val="18"/>
        </w:rPr>
        <w:t>DANA JAMSTVA</w:t>
      </w:r>
    </w:p>
    <w:tbl>
      <w:tblPr>
        <w:tblpPr w:leftFromText="180" w:rightFromText="180" w:vertAnchor="text" w:horzAnchor="page" w:tblpX="1" w:tblpY="808"/>
        <w:tblW w:w="31680" w:type="dxa"/>
        <w:tblLook w:val="04A0" w:firstRow="1" w:lastRow="0" w:firstColumn="1" w:lastColumn="0" w:noHBand="0" w:noVBand="1"/>
      </w:tblPr>
      <w:tblGrid>
        <w:gridCol w:w="13740"/>
        <w:gridCol w:w="970"/>
        <w:gridCol w:w="1248"/>
        <w:gridCol w:w="1693"/>
        <w:gridCol w:w="3153"/>
        <w:gridCol w:w="1025"/>
        <w:gridCol w:w="1150"/>
        <w:gridCol w:w="1206"/>
        <w:gridCol w:w="2110"/>
        <w:gridCol w:w="1401"/>
        <w:gridCol w:w="1846"/>
        <w:gridCol w:w="2138"/>
      </w:tblGrid>
      <w:tr w:rsidR="005B4D0C" w:rsidTr="005B4D0C">
        <w:trPr>
          <w:trHeight w:val="1800"/>
        </w:trPr>
        <w:tc>
          <w:tcPr>
            <w:tcW w:w="1374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97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1248"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1693"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3153"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1025"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115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1206"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2110" w:type="dxa"/>
            <w:tcBorders>
              <w:top w:val="nil"/>
              <w:left w:val="nil"/>
              <w:bottom w:val="nil"/>
              <w:right w:val="nil"/>
            </w:tcBorders>
            <w:shd w:val="clear" w:color="auto" w:fill="auto"/>
            <w:vAlign w:val="center"/>
          </w:tcPr>
          <w:p w:rsidR="005B4D0C" w:rsidRDefault="005B4D0C" w:rsidP="005B4D0C">
            <w:pPr>
              <w:jc w:val="center"/>
              <w:rPr>
                <w:rFonts w:ascii="Calibri" w:hAnsi="Calibri" w:cs="Calibri"/>
                <w:color w:val="000000"/>
                <w:sz w:val="22"/>
                <w:szCs w:val="22"/>
              </w:rPr>
            </w:pPr>
          </w:p>
        </w:tc>
        <w:tc>
          <w:tcPr>
            <w:tcW w:w="1401"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1846"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2138"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r>
      <w:tr w:rsidR="005B4D0C" w:rsidTr="005B4D0C">
        <w:trPr>
          <w:trHeight w:val="300"/>
        </w:trPr>
        <w:tc>
          <w:tcPr>
            <w:tcW w:w="1374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97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1248"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1693"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3153" w:type="dxa"/>
            <w:vMerge w:val="restart"/>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1025"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115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1206"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2110" w:type="dxa"/>
            <w:vMerge w:val="restart"/>
            <w:tcBorders>
              <w:top w:val="nil"/>
              <w:left w:val="nil"/>
              <w:bottom w:val="nil"/>
              <w:right w:val="nil"/>
            </w:tcBorders>
            <w:shd w:val="clear" w:color="auto" w:fill="auto"/>
            <w:vAlign w:val="center"/>
          </w:tcPr>
          <w:p w:rsidR="005B4D0C" w:rsidRDefault="005B4D0C" w:rsidP="005B4D0C">
            <w:pPr>
              <w:jc w:val="center"/>
              <w:rPr>
                <w:rFonts w:ascii="Calibri" w:hAnsi="Calibri" w:cs="Calibri"/>
                <w:color w:val="000000"/>
                <w:sz w:val="22"/>
                <w:szCs w:val="22"/>
              </w:rPr>
            </w:pPr>
          </w:p>
        </w:tc>
        <w:tc>
          <w:tcPr>
            <w:tcW w:w="1401" w:type="dxa"/>
            <w:vMerge w:val="restart"/>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1846" w:type="dxa"/>
            <w:vMerge w:val="restart"/>
            <w:tcBorders>
              <w:top w:val="nil"/>
              <w:left w:val="nil"/>
              <w:bottom w:val="nil"/>
              <w:right w:val="nil"/>
            </w:tcBorders>
            <w:shd w:val="clear" w:color="auto" w:fill="auto"/>
            <w:noWrap/>
            <w:vAlign w:val="bottom"/>
          </w:tcPr>
          <w:p w:rsidR="005B4D0C" w:rsidRDefault="005B4D0C" w:rsidP="005B4D0C">
            <w:pPr>
              <w:jc w:val="center"/>
              <w:rPr>
                <w:rFonts w:ascii="Calibri" w:hAnsi="Calibri" w:cs="Calibri"/>
                <w:color w:val="000000"/>
                <w:sz w:val="22"/>
                <w:szCs w:val="22"/>
              </w:rPr>
            </w:pPr>
          </w:p>
        </w:tc>
        <w:tc>
          <w:tcPr>
            <w:tcW w:w="2138" w:type="dxa"/>
            <w:tcBorders>
              <w:top w:val="nil"/>
              <w:left w:val="nil"/>
              <w:bottom w:val="nil"/>
              <w:right w:val="nil"/>
            </w:tcBorders>
            <w:shd w:val="clear" w:color="auto" w:fill="auto"/>
            <w:noWrap/>
            <w:vAlign w:val="bottom"/>
          </w:tcPr>
          <w:p w:rsidR="005B4D0C" w:rsidRDefault="005B4D0C" w:rsidP="005B4D0C">
            <w:pPr>
              <w:rPr>
                <w:rFonts w:ascii="Calibri" w:hAnsi="Calibri" w:cs="Calibri"/>
                <w:color w:val="000000"/>
                <w:sz w:val="22"/>
                <w:szCs w:val="22"/>
              </w:rPr>
            </w:pPr>
          </w:p>
        </w:tc>
      </w:tr>
      <w:tr w:rsidR="005B4D0C" w:rsidTr="005B4D0C">
        <w:trPr>
          <w:trHeight w:val="300"/>
        </w:trPr>
        <w:tc>
          <w:tcPr>
            <w:tcW w:w="1374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97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1248"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1693"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3153" w:type="dxa"/>
            <w:vMerge/>
            <w:tcBorders>
              <w:top w:val="nil"/>
              <w:left w:val="nil"/>
              <w:bottom w:val="nil"/>
              <w:right w:val="nil"/>
            </w:tcBorders>
            <w:vAlign w:val="center"/>
          </w:tcPr>
          <w:p w:rsidR="005B4D0C" w:rsidRDefault="005B4D0C" w:rsidP="005B4D0C">
            <w:pPr>
              <w:rPr>
                <w:rFonts w:ascii="Calibri" w:hAnsi="Calibri" w:cs="Calibri"/>
                <w:color w:val="000000"/>
                <w:sz w:val="22"/>
                <w:szCs w:val="22"/>
              </w:rPr>
            </w:pPr>
          </w:p>
        </w:tc>
        <w:tc>
          <w:tcPr>
            <w:tcW w:w="1025"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115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1206"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2110" w:type="dxa"/>
            <w:vMerge/>
            <w:tcBorders>
              <w:top w:val="nil"/>
              <w:left w:val="nil"/>
              <w:bottom w:val="nil"/>
              <w:right w:val="nil"/>
            </w:tcBorders>
            <w:vAlign w:val="center"/>
          </w:tcPr>
          <w:p w:rsidR="005B4D0C" w:rsidRDefault="005B4D0C" w:rsidP="005B4D0C">
            <w:pPr>
              <w:rPr>
                <w:rFonts w:ascii="Calibri" w:hAnsi="Calibri" w:cs="Calibri"/>
                <w:color w:val="000000"/>
                <w:sz w:val="22"/>
                <w:szCs w:val="22"/>
              </w:rPr>
            </w:pPr>
          </w:p>
        </w:tc>
        <w:tc>
          <w:tcPr>
            <w:tcW w:w="1401" w:type="dxa"/>
            <w:vMerge/>
            <w:tcBorders>
              <w:top w:val="nil"/>
              <w:left w:val="nil"/>
              <w:bottom w:val="nil"/>
              <w:right w:val="nil"/>
            </w:tcBorders>
            <w:vAlign w:val="center"/>
          </w:tcPr>
          <w:p w:rsidR="005B4D0C" w:rsidRDefault="005B4D0C" w:rsidP="005B4D0C">
            <w:pPr>
              <w:rPr>
                <w:rFonts w:ascii="Calibri" w:hAnsi="Calibri" w:cs="Calibri"/>
                <w:color w:val="000000"/>
                <w:sz w:val="22"/>
                <w:szCs w:val="22"/>
              </w:rPr>
            </w:pPr>
          </w:p>
        </w:tc>
        <w:tc>
          <w:tcPr>
            <w:tcW w:w="1846" w:type="dxa"/>
            <w:vMerge/>
            <w:tcBorders>
              <w:top w:val="nil"/>
              <w:left w:val="nil"/>
              <w:bottom w:val="nil"/>
              <w:right w:val="nil"/>
            </w:tcBorders>
            <w:vAlign w:val="center"/>
          </w:tcPr>
          <w:p w:rsidR="005B4D0C" w:rsidRDefault="005B4D0C" w:rsidP="005B4D0C">
            <w:pPr>
              <w:rPr>
                <w:rFonts w:ascii="Calibri" w:hAnsi="Calibri" w:cs="Calibri"/>
                <w:color w:val="000000"/>
                <w:sz w:val="22"/>
                <w:szCs w:val="22"/>
              </w:rPr>
            </w:pPr>
          </w:p>
        </w:tc>
        <w:tc>
          <w:tcPr>
            <w:tcW w:w="2138" w:type="dxa"/>
            <w:tcBorders>
              <w:top w:val="nil"/>
              <w:left w:val="nil"/>
              <w:bottom w:val="nil"/>
              <w:right w:val="nil"/>
            </w:tcBorders>
            <w:shd w:val="clear" w:color="auto" w:fill="auto"/>
            <w:noWrap/>
            <w:vAlign w:val="bottom"/>
          </w:tcPr>
          <w:p w:rsidR="005B4D0C" w:rsidRDefault="005B4D0C" w:rsidP="005B4D0C">
            <w:pPr>
              <w:rPr>
                <w:rFonts w:ascii="Calibri" w:hAnsi="Calibri" w:cs="Calibri"/>
                <w:color w:val="000000"/>
                <w:sz w:val="22"/>
                <w:szCs w:val="22"/>
              </w:rPr>
            </w:pPr>
          </w:p>
        </w:tc>
      </w:tr>
      <w:tr w:rsidR="005B4D0C" w:rsidTr="005B4D0C">
        <w:trPr>
          <w:trHeight w:val="300"/>
        </w:trPr>
        <w:tc>
          <w:tcPr>
            <w:tcW w:w="1374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97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1248"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1693"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3153" w:type="dxa"/>
            <w:vMerge/>
            <w:tcBorders>
              <w:top w:val="nil"/>
              <w:left w:val="nil"/>
              <w:bottom w:val="nil"/>
              <w:right w:val="nil"/>
            </w:tcBorders>
            <w:vAlign w:val="center"/>
          </w:tcPr>
          <w:p w:rsidR="005B4D0C" w:rsidRDefault="005B4D0C" w:rsidP="005B4D0C">
            <w:pPr>
              <w:rPr>
                <w:rFonts w:ascii="Calibri" w:hAnsi="Calibri" w:cs="Calibri"/>
                <w:color w:val="000000"/>
                <w:sz w:val="22"/>
                <w:szCs w:val="22"/>
              </w:rPr>
            </w:pPr>
          </w:p>
        </w:tc>
        <w:tc>
          <w:tcPr>
            <w:tcW w:w="1025"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115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1206"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2110" w:type="dxa"/>
            <w:vMerge/>
            <w:tcBorders>
              <w:top w:val="nil"/>
              <w:left w:val="nil"/>
              <w:bottom w:val="nil"/>
              <w:right w:val="nil"/>
            </w:tcBorders>
            <w:vAlign w:val="center"/>
          </w:tcPr>
          <w:p w:rsidR="005B4D0C" w:rsidRDefault="005B4D0C" w:rsidP="005B4D0C">
            <w:pPr>
              <w:rPr>
                <w:rFonts w:ascii="Calibri" w:hAnsi="Calibri" w:cs="Calibri"/>
                <w:color w:val="000000"/>
                <w:sz w:val="22"/>
                <w:szCs w:val="22"/>
              </w:rPr>
            </w:pPr>
          </w:p>
        </w:tc>
        <w:tc>
          <w:tcPr>
            <w:tcW w:w="1401" w:type="dxa"/>
            <w:vMerge/>
            <w:tcBorders>
              <w:top w:val="nil"/>
              <w:left w:val="nil"/>
              <w:bottom w:val="nil"/>
              <w:right w:val="nil"/>
            </w:tcBorders>
            <w:vAlign w:val="center"/>
          </w:tcPr>
          <w:p w:rsidR="005B4D0C" w:rsidRDefault="005B4D0C" w:rsidP="005B4D0C">
            <w:pPr>
              <w:rPr>
                <w:rFonts w:ascii="Calibri" w:hAnsi="Calibri" w:cs="Calibri"/>
                <w:color w:val="000000"/>
                <w:sz w:val="22"/>
                <w:szCs w:val="22"/>
              </w:rPr>
            </w:pPr>
          </w:p>
        </w:tc>
        <w:tc>
          <w:tcPr>
            <w:tcW w:w="1846" w:type="dxa"/>
            <w:vMerge/>
            <w:tcBorders>
              <w:top w:val="nil"/>
              <w:left w:val="nil"/>
              <w:bottom w:val="nil"/>
              <w:right w:val="nil"/>
            </w:tcBorders>
            <w:vAlign w:val="center"/>
          </w:tcPr>
          <w:p w:rsidR="005B4D0C" w:rsidRDefault="005B4D0C" w:rsidP="005B4D0C">
            <w:pPr>
              <w:rPr>
                <w:rFonts w:ascii="Calibri" w:hAnsi="Calibri" w:cs="Calibri"/>
                <w:color w:val="000000"/>
                <w:sz w:val="22"/>
                <w:szCs w:val="22"/>
              </w:rPr>
            </w:pPr>
          </w:p>
        </w:tc>
        <w:tc>
          <w:tcPr>
            <w:tcW w:w="2138" w:type="dxa"/>
            <w:tcBorders>
              <w:top w:val="nil"/>
              <w:left w:val="nil"/>
              <w:bottom w:val="nil"/>
              <w:right w:val="nil"/>
            </w:tcBorders>
            <w:shd w:val="clear" w:color="auto" w:fill="auto"/>
            <w:noWrap/>
            <w:vAlign w:val="bottom"/>
          </w:tcPr>
          <w:p w:rsidR="005B4D0C" w:rsidRDefault="005B4D0C" w:rsidP="005B4D0C">
            <w:pPr>
              <w:rPr>
                <w:rFonts w:ascii="Calibri" w:hAnsi="Calibri" w:cs="Calibri"/>
                <w:color w:val="000000"/>
                <w:sz w:val="22"/>
                <w:szCs w:val="22"/>
              </w:rPr>
            </w:pPr>
          </w:p>
        </w:tc>
      </w:tr>
    </w:tbl>
    <w:tbl>
      <w:tblPr>
        <w:tblpPr w:leftFromText="180" w:rightFromText="180" w:vertAnchor="text" w:horzAnchor="margin" w:tblpY="648"/>
        <w:tblW w:w="9055" w:type="dxa"/>
        <w:tblLook w:val="04A0" w:firstRow="1" w:lastRow="0" w:firstColumn="1" w:lastColumn="0" w:noHBand="0" w:noVBand="1"/>
      </w:tblPr>
      <w:tblGrid>
        <w:gridCol w:w="932"/>
        <w:gridCol w:w="932"/>
        <w:gridCol w:w="1219"/>
        <w:gridCol w:w="1679"/>
        <w:gridCol w:w="3186"/>
        <w:gridCol w:w="1107"/>
      </w:tblGrid>
      <w:tr w:rsidR="005B4D0C" w:rsidTr="005B4D0C">
        <w:trPr>
          <w:trHeight w:val="219"/>
        </w:trPr>
        <w:tc>
          <w:tcPr>
            <w:tcW w:w="932" w:type="dxa"/>
            <w:tcBorders>
              <w:top w:val="nil"/>
              <w:left w:val="nil"/>
              <w:bottom w:val="nil"/>
              <w:right w:val="nil"/>
            </w:tcBorders>
            <w:shd w:val="clear" w:color="auto" w:fill="auto"/>
            <w:noWrap/>
            <w:vAlign w:val="bottom"/>
            <w:hideMark/>
          </w:tcPr>
          <w:p w:rsidR="005B4D0C" w:rsidRDefault="005B4D0C" w:rsidP="005B4D0C">
            <w:pPr>
              <w:jc w:val="center"/>
              <w:rPr>
                <w:rFonts w:ascii="Calibri" w:hAnsi="Calibri" w:cs="Calibri"/>
                <w:b/>
                <w:bCs/>
                <w:color w:val="000000"/>
                <w:sz w:val="22"/>
                <w:szCs w:val="22"/>
              </w:rPr>
            </w:pPr>
            <w:r>
              <w:rPr>
                <w:rFonts w:ascii="Calibri" w:hAnsi="Calibri" w:cs="Calibri"/>
                <w:b/>
                <w:bCs/>
                <w:color w:val="000000"/>
                <w:sz w:val="22"/>
                <w:szCs w:val="22"/>
              </w:rPr>
              <w:t>redni broj</w:t>
            </w:r>
          </w:p>
        </w:tc>
        <w:tc>
          <w:tcPr>
            <w:tcW w:w="932" w:type="dxa"/>
            <w:tcBorders>
              <w:top w:val="nil"/>
              <w:left w:val="nil"/>
              <w:bottom w:val="nil"/>
              <w:right w:val="nil"/>
            </w:tcBorders>
            <w:shd w:val="clear" w:color="auto" w:fill="auto"/>
            <w:noWrap/>
            <w:vAlign w:val="bottom"/>
            <w:hideMark/>
          </w:tcPr>
          <w:p w:rsidR="005B4D0C" w:rsidRDefault="005B4D0C" w:rsidP="005B4D0C">
            <w:pPr>
              <w:jc w:val="center"/>
              <w:rPr>
                <w:rFonts w:ascii="Calibri" w:hAnsi="Calibri" w:cs="Calibri"/>
                <w:b/>
                <w:bCs/>
                <w:color w:val="000000"/>
                <w:sz w:val="22"/>
                <w:szCs w:val="22"/>
              </w:rPr>
            </w:pPr>
            <w:r>
              <w:rPr>
                <w:rFonts w:ascii="Calibri" w:hAnsi="Calibri" w:cs="Calibri"/>
                <w:b/>
                <w:bCs/>
                <w:color w:val="000000"/>
                <w:sz w:val="22"/>
                <w:szCs w:val="22"/>
              </w:rPr>
              <w:t>Godina</w:t>
            </w:r>
          </w:p>
        </w:tc>
        <w:tc>
          <w:tcPr>
            <w:tcW w:w="1219" w:type="dxa"/>
            <w:tcBorders>
              <w:top w:val="nil"/>
              <w:left w:val="nil"/>
              <w:bottom w:val="nil"/>
              <w:right w:val="nil"/>
            </w:tcBorders>
            <w:shd w:val="clear" w:color="auto" w:fill="auto"/>
            <w:noWrap/>
            <w:vAlign w:val="bottom"/>
            <w:hideMark/>
          </w:tcPr>
          <w:p w:rsidR="005B4D0C" w:rsidRDefault="005B4D0C" w:rsidP="005B4D0C">
            <w:pPr>
              <w:jc w:val="center"/>
              <w:rPr>
                <w:rFonts w:ascii="Calibri" w:hAnsi="Calibri" w:cs="Calibri"/>
                <w:b/>
                <w:bCs/>
                <w:color w:val="000000"/>
                <w:sz w:val="22"/>
                <w:szCs w:val="22"/>
              </w:rPr>
            </w:pPr>
            <w:r>
              <w:rPr>
                <w:rFonts w:ascii="Calibri" w:hAnsi="Calibri" w:cs="Calibri"/>
                <w:b/>
                <w:bCs/>
                <w:color w:val="000000"/>
                <w:sz w:val="22"/>
                <w:szCs w:val="22"/>
              </w:rPr>
              <w:t>naziv</w:t>
            </w:r>
          </w:p>
        </w:tc>
        <w:tc>
          <w:tcPr>
            <w:tcW w:w="1679" w:type="dxa"/>
            <w:tcBorders>
              <w:top w:val="nil"/>
              <w:left w:val="nil"/>
              <w:bottom w:val="nil"/>
              <w:right w:val="nil"/>
            </w:tcBorders>
            <w:shd w:val="clear" w:color="auto" w:fill="auto"/>
            <w:noWrap/>
            <w:vAlign w:val="bottom"/>
            <w:hideMark/>
          </w:tcPr>
          <w:p w:rsidR="005B4D0C" w:rsidRDefault="005B4D0C" w:rsidP="005B4D0C">
            <w:pPr>
              <w:jc w:val="center"/>
              <w:rPr>
                <w:rFonts w:ascii="Calibri" w:hAnsi="Calibri" w:cs="Calibri"/>
                <w:b/>
                <w:bCs/>
                <w:color w:val="000000"/>
                <w:sz w:val="22"/>
                <w:szCs w:val="22"/>
              </w:rPr>
            </w:pPr>
            <w:r>
              <w:rPr>
                <w:rFonts w:ascii="Calibri" w:hAnsi="Calibri" w:cs="Calibri"/>
                <w:b/>
                <w:bCs/>
                <w:color w:val="000000"/>
                <w:sz w:val="22"/>
                <w:szCs w:val="22"/>
              </w:rPr>
              <w:t>Dužnik</w:t>
            </w:r>
          </w:p>
        </w:tc>
        <w:tc>
          <w:tcPr>
            <w:tcW w:w="3186" w:type="dxa"/>
            <w:tcBorders>
              <w:top w:val="nil"/>
              <w:left w:val="nil"/>
              <w:bottom w:val="nil"/>
              <w:right w:val="nil"/>
            </w:tcBorders>
            <w:shd w:val="clear" w:color="auto" w:fill="auto"/>
            <w:noWrap/>
            <w:vAlign w:val="bottom"/>
            <w:hideMark/>
          </w:tcPr>
          <w:p w:rsidR="005B4D0C" w:rsidRDefault="005B4D0C" w:rsidP="005B4D0C">
            <w:pPr>
              <w:jc w:val="center"/>
              <w:rPr>
                <w:rFonts w:ascii="Calibri" w:hAnsi="Calibri" w:cs="Calibri"/>
                <w:b/>
                <w:bCs/>
                <w:color w:val="000000"/>
                <w:sz w:val="22"/>
                <w:szCs w:val="22"/>
              </w:rPr>
            </w:pPr>
            <w:r>
              <w:rPr>
                <w:rFonts w:ascii="Calibri" w:hAnsi="Calibri" w:cs="Calibri"/>
                <w:b/>
                <w:bCs/>
                <w:color w:val="000000"/>
                <w:sz w:val="22"/>
                <w:szCs w:val="22"/>
              </w:rPr>
              <w:t>Vjerovnik</w:t>
            </w:r>
          </w:p>
        </w:tc>
        <w:tc>
          <w:tcPr>
            <w:tcW w:w="1107" w:type="dxa"/>
            <w:tcBorders>
              <w:top w:val="nil"/>
              <w:left w:val="nil"/>
              <w:bottom w:val="nil"/>
              <w:right w:val="nil"/>
            </w:tcBorders>
            <w:shd w:val="clear" w:color="auto" w:fill="auto"/>
            <w:noWrap/>
            <w:vAlign w:val="bottom"/>
            <w:hideMark/>
          </w:tcPr>
          <w:p w:rsidR="005B4D0C" w:rsidRDefault="005B4D0C" w:rsidP="005B4D0C">
            <w:pPr>
              <w:jc w:val="center"/>
              <w:rPr>
                <w:rFonts w:ascii="Calibri" w:hAnsi="Calibri" w:cs="Calibri"/>
                <w:b/>
                <w:bCs/>
                <w:color w:val="000000"/>
                <w:sz w:val="22"/>
                <w:szCs w:val="22"/>
              </w:rPr>
            </w:pPr>
            <w:r>
              <w:rPr>
                <w:rFonts w:ascii="Calibri" w:hAnsi="Calibri" w:cs="Calibri"/>
                <w:b/>
                <w:bCs/>
                <w:color w:val="000000"/>
                <w:sz w:val="22"/>
                <w:szCs w:val="22"/>
              </w:rPr>
              <w:t>iznos</w:t>
            </w:r>
          </w:p>
        </w:tc>
      </w:tr>
      <w:tr w:rsidR="005B4D0C" w:rsidTr="005B4D0C">
        <w:trPr>
          <w:trHeight w:val="1318"/>
        </w:trPr>
        <w:tc>
          <w:tcPr>
            <w:tcW w:w="932" w:type="dxa"/>
            <w:tcBorders>
              <w:top w:val="nil"/>
              <w:left w:val="nil"/>
              <w:bottom w:val="nil"/>
              <w:right w:val="nil"/>
            </w:tcBorders>
            <w:shd w:val="clear" w:color="auto" w:fill="auto"/>
            <w:noWrap/>
            <w:vAlign w:val="center"/>
            <w:hideMark/>
          </w:tcPr>
          <w:p w:rsidR="005B4D0C" w:rsidRDefault="005B4D0C" w:rsidP="005B4D0C">
            <w:pPr>
              <w:jc w:val="center"/>
              <w:rPr>
                <w:rFonts w:ascii="Calibri" w:hAnsi="Calibri" w:cs="Calibri"/>
                <w:color w:val="000000"/>
                <w:sz w:val="22"/>
                <w:szCs w:val="22"/>
              </w:rPr>
            </w:pPr>
            <w:r>
              <w:rPr>
                <w:rFonts w:ascii="Calibri" w:hAnsi="Calibri" w:cs="Calibri"/>
                <w:color w:val="000000"/>
                <w:sz w:val="22"/>
                <w:szCs w:val="22"/>
              </w:rPr>
              <w:t>1.</w:t>
            </w:r>
          </w:p>
        </w:tc>
        <w:tc>
          <w:tcPr>
            <w:tcW w:w="932" w:type="dxa"/>
            <w:tcBorders>
              <w:top w:val="nil"/>
              <w:left w:val="nil"/>
              <w:bottom w:val="nil"/>
              <w:right w:val="nil"/>
            </w:tcBorders>
            <w:shd w:val="clear" w:color="auto" w:fill="auto"/>
            <w:noWrap/>
            <w:vAlign w:val="center"/>
            <w:hideMark/>
          </w:tcPr>
          <w:p w:rsidR="005B4D0C" w:rsidRDefault="005B4D0C" w:rsidP="005B4D0C">
            <w:pPr>
              <w:jc w:val="center"/>
              <w:rPr>
                <w:rFonts w:ascii="Calibri" w:hAnsi="Calibri" w:cs="Calibri"/>
                <w:color w:val="000000"/>
                <w:sz w:val="22"/>
                <w:szCs w:val="22"/>
              </w:rPr>
            </w:pPr>
            <w:r>
              <w:rPr>
                <w:rFonts w:ascii="Calibri" w:hAnsi="Calibri" w:cs="Calibri"/>
                <w:color w:val="000000"/>
                <w:sz w:val="22"/>
                <w:szCs w:val="22"/>
              </w:rPr>
              <w:t>2024.</w:t>
            </w:r>
          </w:p>
        </w:tc>
        <w:tc>
          <w:tcPr>
            <w:tcW w:w="1219" w:type="dxa"/>
            <w:tcBorders>
              <w:top w:val="nil"/>
              <w:left w:val="nil"/>
              <w:bottom w:val="nil"/>
              <w:right w:val="nil"/>
            </w:tcBorders>
            <w:shd w:val="clear" w:color="auto" w:fill="auto"/>
            <w:noWrap/>
            <w:vAlign w:val="center"/>
            <w:hideMark/>
          </w:tcPr>
          <w:p w:rsidR="005B4D0C" w:rsidRDefault="005B4D0C" w:rsidP="005B4D0C">
            <w:pPr>
              <w:jc w:val="center"/>
              <w:rPr>
                <w:rFonts w:ascii="Calibri" w:hAnsi="Calibri" w:cs="Calibri"/>
                <w:color w:val="000000"/>
                <w:sz w:val="22"/>
                <w:szCs w:val="22"/>
              </w:rPr>
            </w:pPr>
            <w:r>
              <w:rPr>
                <w:rFonts w:ascii="Calibri" w:hAnsi="Calibri" w:cs="Calibri"/>
                <w:color w:val="000000"/>
                <w:sz w:val="22"/>
                <w:szCs w:val="22"/>
              </w:rPr>
              <w:t>Zadužnica</w:t>
            </w:r>
          </w:p>
        </w:tc>
        <w:tc>
          <w:tcPr>
            <w:tcW w:w="1679" w:type="dxa"/>
            <w:tcBorders>
              <w:top w:val="nil"/>
              <w:left w:val="nil"/>
              <w:bottom w:val="nil"/>
              <w:right w:val="nil"/>
            </w:tcBorders>
            <w:shd w:val="clear" w:color="auto" w:fill="auto"/>
            <w:noWrap/>
            <w:vAlign w:val="center"/>
            <w:hideMark/>
          </w:tcPr>
          <w:p w:rsidR="005B4D0C" w:rsidRDefault="005B4D0C" w:rsidP="005B4D0C">
            <w:pPr>
              <w:jc w:val="center"/>
              <w:rPr>
                <w:rFonts w:ascii="Calibri" w:hAnsi="Calibri" w:cs="Calibri"/>
                <w:color w:val="000000"/>
                <w:sz w:val="22"/>
                <w:szCs w:val="22"/>
              </w:rPr>
            </w:pPr>
            <w:r>
              <w:rPr>
                <w:rFonts w:ascii="Calibri" w:hAnsi="Calibri" w:cs="Calibri"/>
                <w:color w:val="000000"/>
                <w:sz w:val="22"/>
                <w:szCs w:val="22"/>
              </w:rPr>
              <w:t xml:space="preserve">Općina </w:t>
            </w:r>
            <w:proofErr w:type="spellStart"/>
            <w:r>
              <w:rPr>
                <w:rFonts w:ascii="Calibri" w:hAnsi="Calibri" w:cs="Calibri"/>
                <w:color w:val="000000"/>
                <w:sz w:val="22"/>
                <w:szCs w:val="22"/>
              </w:rPr>
              <w:t>Vratišinec</w:t>
            </w:r>
            <w:proofErr w:type="spellEnd"/>
          </w:p>
        </w:tc>
        <w:tc>
          <w:tcPr>
            <w:tcW w:w="3186" w:type="dxa"/>
            <w:tcBorders>
              <w:top w:val="nil"/>
              <w:left w:val="nil"/>
              <w:bottom w:val="nil"/>
              <w:right w:val="nil"/>
            </w:tcBorders>
            <w:shd w:val="clear" w:color="auto" w:fill="auto"/>
            <w:noWrap/>
            <w:vAlign w:val="center"/>
            <w:hideMark/>
          </w:tcPr>
          <w:p w:rsidR="005B4D0C" w:rsidRDefault="005B4D0C" w:rsidP="005B4D0C">
            <w:pPr>
              <w:jc w:val="center"/>
              <w:rPr>
                <w:rFonts w:ascii="Calibri" w:hAnsi="Calibri" w:cs="Calibri"/>
                <w:color w:val="000000"/>
                <w:sz w:val="22"/>
                <w:szCs w:val="22"/>
              </w:rPr>
            </w:pPr>
            <w:r>
              <w:rPr>
                <w:rFonts w:ascii="Calibri" w:hAnsi="Calibri" w:cs="Calibri"/>
                <w:color w:val="000000"/>
                <w:sz w:val="22"/>
                <w:szCs w:val="22"/>
              </w:rPr>
              <w:t>Međimurske vode d.o.o.</w:t>
            </w:r>
          </w:p>
        </w:tc>
        <w:tc>
          <w:tcPr>
            <w:tcW w:w="1107" w:type="dxa"/>
            <w:tcBorders>
              <w:top w:val="nil"/>
              <w:left w:val="nil"/>
              <w:bottom w:val="nil"/>
              <w:right w:val="nil"/>
            </w:tcBorders>
            <w:shd w:val="clear" w:color="auto" w:fill="auto"/>
            <w:noWrap/>
            <w:vAlign w:val="center"/>
            <w:hideMark/>
          </w:tcPr>
          <w:p w:rsidR="005B4D0C" w:rsidRDefault="005B4D0C" w:rsidP="005B4D0C">
            <w:pPr>
              <w:jc w:val="center"/>
              <w:rPr>
                <w:rFonts w:ascii="Calibri" w:hAnsi="Calibri" w:cs="Calibri"/>
                <w:color w:val="000000"/>
                <w:sz w:val="22"/>
                <w:szCs w:val="22"/>
              </w:rPr>
            </w:pPr>
            <w:r>
              <w:rPr>
                <w:rFonts w:ascii="Calibri" w:hAnsi="Calibri" w:cs="Calibri"/>
                <w:color w:val="000000"/>
                <w:sz w:val="22"/>
                <w:szCs w:val="22"/>
              </w:rPr>
              <w:t>64.940,17 EUR</w:t>
            </w:r>
          </w:p>
        </w:tc>
      </w:tr>
      <w:tr w:rsidR="005B4D0C" w:rsidTr="005B4D0C">
        <w:trPr>
          <w:trHeight w:val="219"/>
        </w:trPr>
        <w:tc>
          <w:tcPr>
            <w:tcW w:w="932" w:type="dxa"/>
            <w:tcBorders>
              <w:top w:val="nil"/>
              <w:left w:val="nil"/>
              <w:bottom w:val="nil"/>
              <w:right w:val="nil"/>
            </w:tcBorders>
            <w:shd w:val="clear" w:color="auto" w:fill="auto"/>
            <w:noWrap/>
            <w:vAlign w:val="center"/>
            <w:hideMark/>
          </w:tcPr>
          <w:p w:rsidR="005B4D0C" w:rsidRDefault="005B4D0C" w:rsidP="005B4D0C">
            <w:pPr>
              <w:jc w:val="center"/>
              <w:rPr>
                <w:rFonts w:ascii="Calibri" w:hAnsi="Calibri" w:cs="Calibri"/>
                <w:color w:val="000000"/>
                <w:sz w:val="22"/>
                <w:szCs w:val="22"/>
              </w:rPr>
            </w:pPr>
            <w:r>
              <w:rPr>
                <w:rFonts w:ascii="Calibri" w:hAnsi="Calibri" w:cs="Calibri"/>
                <w:color w:val="000000"/>
                <w:sz w:val="22"/>
                <w:szCs w:val="22"/>
              </w:rPr>
              <w:t>2.</w:t>
            </w:r>
          </w:p>
        </w:tc>
        <w:tc>
          <w:tcPr>
            <w:tcW w:w="932" w:type="dxa"/>
            <w:tcBorders>
              <w:top w:val="nil"/>
              <w:left w:val="nil"/>
              <w:bottom w:val="nil"/>
              <w:right w:val="nil"/>
            </w:tcBorders>
            <w:shd w:val="clear" w:color="auto" w:fill="auto"/>
            <w:noWrap/>
            <w:vAlign w:val="center"/>
            <w:hideMark/>
          </w:tcPr>
          <w:p w:rsidR="005B4D0C" w:rsidRDefault="005B4D0C" w:rsidP="005B4D0C">
            <w:pPr>
              <w:jc w:val="center"/>
              <w:rPr>
                <w:rFonts w:ascii="Calibri" w:hAnsi="Calibri" w:cs="Calibri"/>
                <w:color w:val="000000"/>
                <w:sz w:val="22"/>
                <w:szCs w:val="22"/>
              </w:rPr>
            </w:pPr>
            <w:r>
              <w:rPr>
                <w:rFonts w:ascii="Calibri" w:hAnsi="Calibri" w:cs="Calibri"/>
                <w:color w:val="000000"/>
                <w:sz w:val="22"/>
                <w:szCs w:val="22"/>
              </w:rPr>
              <w:t>2024.</w:t>
            </w:r>
          </w:p>
        </w:tc>
        <w:tc>
          <w:tcPr>
            <w:tcW w:w="1219" w:type="dxa"/>
            <w:tcBorders>
              <w:top w:val="nil"/>
              <w:left w:val="nil"/>
              <w:bottom w:val="nil"/>
              <w:right w:val="nil"/>
            </w:tcBorders>
            <w:shd w:val="clear" w:color="auto" w:fill="auto"/>
            <w:noWrap/>
            <w:vAlign w:val="center"/>
            <w:hideMark/>
          </w:tcPr>
          <w:p w:rsidR="005B4D0C" w:rsidRDefault="005B4D0C" w:rsidP="005B4D0C">
            <w:pPr>
              <w:jc w:val="center"/>
              <w:rPr>
                <w:rFonts w:ascii="Calibri" w:hAnsi="Calibri" w:cs="Calibri"/>
                <w:color w:val="000000"/>
                <w:sz w:val="22"/>
                <w:szCs w:val="22"/>
              </w:rPr>
            </w:pPr>
            <w:r>
              <w:rPr>
                <w:rFonts w:ascii="Calibri" w:hAnsi="Calibri" w:cs="Calibri"/>
                <w:color w:val="000000"/>
                <w:sz w:val="22"/>
                <w:szCs w:val="22"/>
              </w:rPr>
              <w:t>Bjanko zadužnica</w:t>
            </w:r>
          </w:p>
        </w:tc>
        <w:tc>
          <w:tcPr>
            <w:tcW w:w="1679" w:type="dxa"/>
            <w:tcBorders>
              <w:top w:val="nil"/>
              <w:left w:val="nil"/>
              <w:bottom w:val="nil"/>
              <w:right w:val="nil"/>
            </w:tcBorders>
            <w:shd w:val="clear" w:color="auto" w:fill="auto"/>
            <w:noWrap/>
            <w:vAlign w:val="center"/>
            <w:hideMark/>
          </w:tcPr>
          <w:p w:rsidR="005B4D0C" w:rsidRDefault="005B4D0C" w:rsidP="005B4D0C">
            <w:pPr>
              <w:jc w:val="center"/>
              <w:rPr>
                <w:rFonts w:ascii="Calibri" w:hAnsi="Calibri" w:cs="Calibri"/>
                <w:color w:val="000000"/>
                <w:sz w:val="22"/>
                <w:szCs w:val="22"/>
              </w:rPr>
            </w:pPr>
            <w:r>
              <w:rPr>
                <w:rFonts w:ascii="Calibri" w:hAnsi="Calibri" w:cs="Calibri"/>
                <w:color w:val="000000"/>
                <w:sz w:val="22"/>
                <w:szCs w:val="22"/>
              </w:rPr>
              <w:t xml:space="preserve">Općina </w:t>
            </w:r>
            <w:proofErr w:type="spellStart"/>
            <w:r>
              <w:rPr>
                <w:rFonts w:ascii="Calibri" w:hAnsi="Calibri" w:cs="Calibri"/>
                <w:color w:val="000000"/>
                <w:sz w:val="22"/>
                <w:szCs w:val="22"/>
              </w:rPr>
              <w:t>Vratišinec</w:t>
            </w:r>
            <w:proofErr w:type="spellEnd"/>
          </w:p>
        </w:tc>
        <w:tc>
          <w:tcPr>
            <w:tcW w:w="3186" w:type="dxa"/>
            <w:vMerge w:val="restart"/>
            <w:tcBorders>
              <w:top w:val="nil"/>
              <w:left w:val="nil"/>
              <w:bottom w:val="nil"/>
              <w:right w:val="nil"/>
            </w:tcBorders>
            <w:shd w:val="clear" w:color="auto" w:fill="auto"/>
            <w:noWrap/>
            <w:vAlign w:val="center"/>
            <w:hideMark/>
          </w:tcPr>
          <w:p w:rsidR="005B4D0C" w:rsidRDefault="005B4D0C" w:rsidP="005B4D0C">
            <w:pPr>
              <w:jc w:val="center"/>
              <w:rPr>
                <w:rFonts w:ascii="Calibri" w:hAnsi="Calibri" w:cs="Calibri"/>
                <w:color w:val="000000"/>
                <w:sz w:val="22"/>
                <w:szCs w:val="22"/>
              </w:rPr>
            </w:pPr>
            <w:r>
              <w:rPr>
                <w:rFonts w:ascii="Calibri" w:hAnsi="Calibri" w:cs="Calibri"/>
                <w:color w:val="000000"/>
                <w:sz w:val="22"/>
                <w:szCs w:val="22"/>
              </w:rPr>
              <w:t>Ministarstvo regionalnog razvoja i fondova EU</w:t>
            </w:r>
          </w:p>
        </w:tc>
        <w:tc>
          <w:tcPr>
            <w:tcW w:w="1107" w:type="dxa"/>
            <w:tcBorders>
              <w:top w:val="nil"/>
              <w:left w:val="nil"/>
              <w:bottom w:val="nil"/>
              <w:right w:val="nil"/>
            </w:tcBorders>
            <w:shd w:val="clear" w:color="auto" w:fill="auto"/>
            <w:noWrap/>
            <w:vAlign w:val="center"/>
            <w:hideMark/>
          </w:tcPr>
          <w:p w:rsidR="005B4D0C" w:rsidRDefault="005B4D0C" w:rsidP="005B4D0C">
            <w:pPr>
              <w:jc w:val="center"/>
              <w:rPr>
                <w:rFonts w:ascii="Calibri" w:hAnsi="Calibri" w:cs="Calibri"/>
                <w:color w:val="000000"/>
                <w:sz w:val="22"/>
                <w:szCs w:val="22"/>
              </w:rPr>
            </w:pPr>
            <w:r>
              <w:rPr>
                <w:rFonts w:ascii="Calibri" w:hAnsi="Calibri" w:cs="Calibri"/>
                <w:color w:val="000000"/>
                <w:sz w:val="22"/>
                <w:szCs w:val="22"/>
              </w:rPr>
              <w:t>10.000,00 EUR</w:t>
            </w:r>
          </w:p>
        </w:tc>
      </w:tr>
      <w:tr w:rsidR="005B4D0C" w:rsidTr="005B4D0C">
        <w:trPr>
          <w:trHeight w:val="219"/>
        </w:trPr>
        <w:tc>
          <w:tcPr>
            <w:tcW w:w="932" w:type="dxa"/>
            <w:tcBorders>
              <w:top w:val="nil"/>
              <w:left w:val="nil"/>
              <w:bottom w:val="nil"/>
              <w:right w:val="nil"/>
            </w:tcBorders>
            <w:shd w:val="clear" w:color="auto" w:fill="auto"/>
            <w:noWrap/>
            <w:vAlign w:val="center"/>
            <w:hideMark/>
          </w:tcPr>
          <w:p w:rsidR="005B4D0C" w:rsidRDefault="005B4D0C" w:rsidP="005B4D0C">
            <w:pPr>
              <w:jc w:val="center"/>
              <w:rPr>
                <w:rFonts w:ascii="Calibri" w:hAnsi="Calibri" w:cs="Calibri"/>
                <w:color w:val="000000"/>
                <w:sz w:val="22"/>
                <w:szCs w:val="22"/>
              </w:rPr>
            </w:pPr>
            <w:r>
              <w:rPr>
                <w:rFonts w:ascii="Calibri" w:hAnsi="Calibri" w:cs="Calibri"/>
                <w:color w:val="000000"/>
                <w:sz w:val="22"/>
                <w:szCs w:val="22"/>
              </w:rPr>
              <w:t>3.</w:t>
            </w:r>
          </w:p>
        </w:tc>
        <w:tc>
          <w:tcPr>
            <w:tcW w:w="932" w:type="dxa"/>
            <w:tcBorders>
              <w:top w:val="nil"/>
              <w:left w:val="nil"/>
              <w:bottom w:val="nil"/>
              <w:right w:val="nil"/>
            </w:tcBorders>
            <w:shd w:val="clear" w:color="auto" w:fill="auto"/>
            <w:noWrap/>
            <w:vAlign w:val="center"/>
            <w:hideMark/>
          </w:tcPr>
          <w:p w:rsidR="005B4D0C" w:rsidRDefault="005B4D0C" w:rsidP="005B4D0C">
            <w:pPr>
              <w:jc w:val="center"/>
              <w:rPr>
                <w:rFonts w:ascii="Calibri" w:hAnsi="Calibri" w:cs="Calibri"/>
                <w:color w:val="000000"/>
                <w:sz w:val="22"/>
                <w:szCs w:val="22"/>
              </w:rPr>
            </w:pPr>
            <w:r>
              <w:rPr>
                <w:rFonts w:ascii="Calibri" w:hAnsi="Calibri" w:cs="Calibri"/>
                <w:color w:val="000000"/>
                <w:sz w:val="22"/>
                <w:szCs w:val="22"/>
              </w:rPr>
              <w:t>2024.</w:t>
            </w:r>
          </w:p>
        </w:tc>
        <w:tc>
          <w:tcPr>
            <w:tcW w:w="1219" w:type="dxa"/>
            <w:tcBorders>
              <w:top w:val="nil"/>
              <w:left w:val="nil"/>
              <w:bottom w:val="nil"/>
              <w:right w:val="nil"/>
            </w:tcBorders>
            <w:shd w:val="clear" w:color="auto" w:fill="auto"/>
            <w:noWrap/>
            <w:vAlign w:val="center"/>
            <w:hideMark/>
          </w:tcPr>
          <w:p w:rsidR="005B4D0C" w:rsidRDefault="005B4D0C" w:rsidP="005B4D0C">
            <w:pPr>
              <w:jc w:val="center"/>
              <w:rPr>
                <w:rFonts w:ascii="Calibri" w:hAnsi="Calibri" w:cs="Calibri"/>
                <w:color w:val="000000"/>
                <w:sz w:val="22"/>
                <w:szCs w:val="22"/>
              </w:rPr>
            </w:pPr>
            <w:r>
              <w:rPr>
                <w:rFonts w:ascii="Calibri" w:hAnsi="Calibri" w:cs="Calibri"/>
                <w:color w:val="000000"/>
                <w:sz w:val="22"/>
                <w:szCs w:val="22"/>
              </w:rPr>
              <w:t>Bjanko zadužnica</w:t>
            </w:r>
          </w:p>
        </w:tc>
        <w:tc>
          <w:tcPr>
            <w:tcW w:w="1679" w:type="dxa"/>
            <w:tcBorders>
              <w:top w:val="nil"/>
              <w:left w:val="nil"/>
              <w:bottom w:val="nil"/>
              <w:right w:val="nil"/>
            </w:tcBorders>
            <w:shd w:val="clear" w:color="auto" w:fill="auto"/>
            <w:noWrap/>
            <w:vAlign w:val="center"/>
            <w:hideMark/>
          </w:tcPr>
          <w:p w:rsidR="005B4D0C" w:rsidRDefault="005B4D0C" w:rsidP="005B4D0C">
            <w:pPr>
              <w:jc w:val="center"/>
              <w:rPr>
                <w:rFonts w:ascii="Calibri" w:hAnsi="Calibri" w:cs="Calibri"/>
                <w:color w:val="000000"/>
                <w:sz w:val="22"/>
                <w:szCs w:val="22"/>
              </w:rPr>
            </w:pPr>
            <w:r>
              <w:rPr>
                <w:rFonts w:ascii="Calibri" w:hAnsi="Calibri" w:cs="Calibri"/>
                <w:color w:val="000000"/>
                <w:sz w:val="22"/>
                <w:szCs w:val="22"/>
              </w:rPr>
              <w:t xml:space="preserve">Općina </w:t>
            </w:r>
            <w:proofErr w:type="spellStart"/>
            <w:r>
              <w:rPr>
                <w:rFonts w:ascii="Calibri" w:hAnsi="Calibri" w:cs="Calibri"/>
                <w:color w:val="000000"/>
                <w:sz w:val="22"/>
                <w:szCs w:val="22"/>
              </w:rPr>
              <w:t>Vratišinec</w:t>
            </w:r>
            <w:proofErr w:type="spellEnd"/>
          </w:p>
        </w:tc>
        <w:tc>
          <w:tcPr>
            <w:tcW w:w="3186" w:type="dxa"/>
            <w:vMerge/>
            <w:tcBorders>
              <w:top w:val="nil"/>
              <w:left w:val="nil"/>
              <w:bottom w:val="nil"/>
              <w:right w:val="nil"/>
            </w:tcBorders>
            <w:vAlign w:val="center"/>
            <w:hideMark/>
          </w:tcPr>
          <w:p w:rsidR="005B4D0C" w:rsidRDefault="005B4D0C" w:rsidP="005B4D0C">
            <w:pPr>
              <w:rPr>
                <w:rFonts w:ascii="Calibri" w:hAnsi="Calibri" w:cs="Calibri"/>
                <w:color w:val="000000"/>
                <w:sz w:val="22"/>
                <w:szCs w:val="22"/>
              </w:rPr>
            </w:pPr>
          </w:p>
        </w:tc>
        <w:tc>
          <w:tcPr>
            <w:tcW w:w="1107" w:type="dxa"/>
            <w:tcBorders>
              <w:top w:val="nil"/>
              <w:left w:val="nil"/>
              <w:bottom w:val="nil"/>
              <w:right w:val="nil"/>
            </w:tcBorders>
            <w:shd w:val="clear" w:color="auto" w:fill="auto"/>
            <w:noWrap/>
            <w:vAlign w:val="center"/>
            <w:hideMark/>
          </w:tcPr>
          <w:p w:rsidR="005B4D0C" w:rsidRDefault="005B4D0C" w:rsidP="005B4D0C">
            <w:pPr>
              <w:jc w:val="center"/>
              <w:rPr>
                <w:rFonts w:ascii="Calibri" w:hAnsi="Calibri" w:cs="Calibri"/>
                <w:color w:val="000000"/>
                <w:sz w:val="22"/>
                <w:szCs w:val="22"/>
              </w:rPr>
            </w:pPr>
            <w:r>
              <w:rPr>
                <w:rFonts w:ascii="Calibri" w:hAnsi="Calibri" w:cs="Calibri"/>
                <w:color w:val="000000"/>
                <w:sz w:val="22"/>
                <w:szCs w:val="22"/>
              </w:rPr>
              <w:t>20.000,00 EUR</w:t>
            </w:r>
          </w:p>
        </w:tc>
      </w:tr>
      <w:tr w:rsidR="005B4D0C" w:rsidTr="005B4D0C">
        <w:trPr>
          <w:trHeight w:val="219"/>
        </w:trPr>
        <w:tc>
          <w:tcPr>
            <w:tcW w:w="932" w:type="dxa"/>
            <w:tcBorders>
              <w:top w:val="nil"/>
              <w:left w:val="nil"/>
              <w:bottom w:val="nil"/>
              <w:right w:val="nil"/>
            </w:tcBorders>
            <w:shd w:val="clear" w:color="auto" w:fill="auto"/>
            <w:noWrap/>
            <w:vAlign w:val="center"/>
            <w:hideMark/>
          </w:tcPr>
          <w:p w:rsidR="005B4D0C" w:rsidRDefault="005B4D0C" w:rsidP="005B4D0C">
            <w:pPr>
              <w:jc w:val="center"/>
              <w:rPr>
                <w:rFonts w:ascii="Calibri" w:hAnsi="Calibri" w:cs="Calibri"/>
                <w:color w:val="000000"/>
                <w:sz w:val="22"/>
                <w:szCs w:val="22"/>
              </w:rPr>
            </w:pPr>
            <w:r>
              <w:rPr>
                <w:rFonts w:ascii="Calibri" w:hAnsi="Calibri" w:cs="Calibri"/>
                <w:color w:val="000000"/>
                <w:sz w:val="22"/>
                <w:szCs w:val="22"/>
              </w:rPr>
              <w:t>4.</w:t>
            </w:r>
          </w:p>
        </w:tc>
        <w:tc>
          <w:tcPr>
            <w:tcW w:w="932" w:type="dxa"/>
            <w:tcBorders>
              <w:top w:val="nil"/>
              <w:left w:val="nil"/>
              <w:bottom w:val="nil"/>
              <w:right w:val="nil"/>
            </w:tcBorders>
            <w:shd w:val="clear" w:color="auto" w:fill="auto"/>
            <w:noWrap/>
            <w:vAlign w:val="center"/>
            <w:hideMark/>
          </w:tcPr>
          <w:p w:rsidR="005B4D0C" w:rsidRDefault="005B4D0C" w:rsidP="005B4D0C">
            <w:pPr>
              <w:jc w:val="center"/>
              <w:rPr>
                <w:rFonts w:ascii="Calibri" w:hAnsi="Calibri" w:cs="Calibri"/>
                <w:color w:val="000000"/>
                <w:sz w:val="22"/>
                <w:szCs w:val="22"/>
              </w:rPr>
            </w:pPr>
            <w:r>
              <w:rPr>
                <w:rFonts w:ascii="Calibri" w:hAnsi="Calibri" w:cs="Calibri"/>
                <w:color w:val="000000"/>
                <w:sz w:val="22"/>
                <w:szCs w:val="22"/>
              </w:rPr>
              <w:t>2024.</w:t>
            </w:r>
          </w:p>
        </w:tc>
        <w:tc>
          <w:tcPr>
            <w:tcW w:w="1219" w:type="dxa"/>
            <w:tcBorders>
              <w:top w:val="nil"/>
              <w:left w:val="nil"/>
              <w:bottom w:val="nil"/>
              <w:right w:val="nil"/>
            </w:tcBorders>
            <w:shd w:val="clear" w:color="auto" w:fill="auto"/>
            <w:noWrap/>
            <w:vAlign w:val="center"/>
            <w:hideMark/>
          </w:tcPr>
          <w:p w:rsidR="005B4D0C" w:rsidRDefault="005B4D0C" w:rsidP="005B4D0C">
            <w:pPr>
              <w:jc w:val="center"/>
              <w:rPr>
                <w:rFonts w:ascii="Calibri" w:hAnsi="Calibri" w:cs="Calibri"/>
                <w:color w:val="000000"/>
                <w:sz w:val="22"/>
                <w:szCs w:val="22"/>
              </w:rPr>
            </w:pPr>
            <w:r>
              <w:rPr>
                <w:rFonts w:ascii="Calibri" w:hAnsi="Calibri" w:cs="Calibri"/>
                <w:color w:val="000000"/>
                <w:sz w:val="22"/>
                <w:szCs w:val="22"/>
              </w:rPr>
              <w:t>Bjanko zadužnica</w:t>
            </w:r>
          </w:p>
        </w:tc>
        <w:tc>
          <w:tcPr>
            <w:tcW w:w="1679" w:type="dxa"/>
            <w:tcBorders>
              <w:top w:val="nil"/>
              <w:left w:val="nil"/>
              <w:bottom w:val="nil"/>
              <w:right w:val="nil"/>
            </w:tcBorders>
            <w:shd w:val="clear" w:color="auto" w:fill="auto"/>
            <w:noWrap/>
            <w:vAlign w:val="center"/>
            <w:hideMark/>
          </w:tcPr>
          <w:p w:rsidR="005B4D0C" w:rsidRDefault="005B4D0C" w:rsidP="005B4D0C">
            <w:pPr>
              <w:jc w:val="center"/>
              <w:rPr>
                <w:rFonts w:ascii="Calibri" w:hAnsi="Calibri" w:cs="Calibri"/>
                <w:color w:val="000000"/>
                <w:sz w:val="22"/>
                <w:szCs w:val="22"/>
              </w:rPr>
            </w:pPr>
            <w:r>
              <w:rPr>
                <w:rFonts w:ascii="Calibri" w:hAnsi="Calibri" w:cs="Calibri"/>
                <w:color w:val="000000"/>
                <w:sz w:val="22"/>
                <w:szCs w:val="22"/>
              </w:rPr>
              <w:t xml:space="preserve">Općina </w:t>
            </w:r>
            <w:proofErr w:type="spellStart"/>
            <w:r>
              <w:rPr>
                <w:rFonts w:ascii="Calibri" w:hAnsi="Calibri" w:cs="Calibri"/>
                <w:color w:val="000000"/>
                <w:sz w:val="22"/>
                <w:szCs w:val="22"/>
              </w:rPr>
              <w:t>Vratišinec</w:t>
            </w:r>
            <w:proofErr w:type="spellEnd"/>
          </w:p>
        </w:tc>
        <w:tc>
          <w:tcPr>
            <w:tcW w:w="3186" w:type="dxa"/>
            <w:vMerge/>
            <w:tcBorders>
              <w:top w:val="nil"/>
              <w:left w:val="nil"/>
              <w:bottom w:val="nil"/>
              <w:right w:val="nil"/>
            </w:tcBorders>
            <w:vAlign w:val="center"/>
            <w:hideMark/>
          </w:tcPr>
          <w:p w:rsidR="005B4D0C" w:rsidRDefault="005B4D0C" w:rsidP="005B4D0C">
            <w:pPr>
              <w:rPr>
                <w:rFonts w:ascii="Calibri" w:hAnsi="Calibri" w:cs="Calibri"/>
                <w:color w:val="000000"/>
                <w:sz w:val="22"/>
                <w:szCs w:val="22"/>
              </w:rPr>
            </w:pPr>
          </w:p>
        </w:tc>
        <w:tc>
          <w:tcPr>
            <w:tcW w:w="1107" w:type="dxa"/>
            <w:tcBorders>
              <w:top w:val="nil"/>
              <w:left w:val="nil"/>
              <w:bottom w:val="nil"/>
              <w:right w:val="nil"/>
            </w:tcBorders>
            <w:shd w:val="clear" w:color="auto" w:fill="auto"/>
            <w:noWrap/>
            <w:vAlign w:val="center"/>
            <w:hideMark/>
          </w:tcPr>
          <w:p w:rsidR="005B4D0C" w:rsidRDefault="005B4D0C" w:rsidP="005B4D0C">
            <w:pPr>
              <w:jc w:val="center"/>
              <w:rPr>
                <w:rFonts w:ascii="Calibri" w:hAnsi="Calibri" w:cs="Calibri"/>
                <w:color w:val="000000"/>
                <w:sz w:val="22"/>
                <w:szCs w:val="22"/>
              </w:rPr>
            </w:pPr>
            <w:r>
              <w:rPr>
                <w:rFonts w:ascii="Calibri" w:hAnsi="Calibri" w:cs="Calibri"/>
                <w:color w:val="000000"/>
                <w:sz w:val="22"/>
                <w:szCs w:val="22"/>
              </w:rPr>
              <w:t>10.000,00 EUR</w:t>
            </w:r>
          </w:p>
        </w:tc>
      </w:tr>
    </w:tbl>
    <w:p w:rsidR="00EC461A" w:rsidRDefault="00EC461A" w:rsidP="00FD5AA8">
      <w:pPr>
        <w:jc w:val="both"/>
        <w:outlineLvl w:val="0"/>
        <w:rPr>
          <w:sz w:val="18"/>
          <w:szCs w:val="18"/>
        </w:rPr>
      </w:pPr>
    </w:p>
    <w:p w:rsidR="005B4D0C" w:rsidRPr="00EC461A" w:rsidRDefault="005B4D0C" w:rsidP="00FD5AA8">
      <w:pPr>
        <w:jc w:val="both"/>
        <w:outlineLvl w:val="0"/>
        <w:rPr>
          <w:sz w:val="18"/>
          <w:szCs w:val="18"/>
        </w:rPr>
      </w:pPr>
    </w:p>
    <w:p w:rsidR="006666EC" w:rsidRDefault="005B4D0C" w:rsidP="00FD5AA8">
      <w:pPr>
        <w:jc w:val="both"/>
        <w:outlineLvl w:val="0"/>
        <w:rPr>
          <w:sz w:val="22"/>
          <w:szCs w:val="22"/>
        </w:rPr>
      </w:pPr>
      <w:r>
        <w:rPr>
          <w:sz w:val="22"/>
          <w:szCs w:val="22"/>
        </w:rPr>
        <w:t>Izradila:</w:t>
      </w:r>
    </w:p>
    <w:p w:rsidR="005B4D0C" w:rsidRDefault="005B4D0C" w:rsidP="00FD5AA8">
      <w:pPr>
        <w:jc w:val="both"/>
        <w:outlineLvl w:val="0"/>
        <w:rPr>
          <w:sz w:val="22"/>
          <w:szCs w:val="22"/>
        </w:rPr>
      </w:pPr>
      <w:r>
        <w:rPr>
          <w:sz w:val="22"/>
          <w:szCs w:val="22"/>
        </w:rPr>
        <w:t xml:space="preserve">Magdalena </w:t>
      </w:r>
      <w:proofErr w:type="spellStart"/>
      <w:r>
        <w:rPr>
          <w:sz w:val="22"/>
          <w:szCs w:val="22"/>
        </w:rPr>
        <w:t>Šoltić</w:t>
      </w:r>
      <w:proofErr w:type="spellEnd"/>
      <w:r>
        <w:rPr>
          <w:sz w:val="22"/>
          <w:szCs w:val="22"/>
        </w:rPr>
        <w:tab/>
      </w:r>
    </w:p>
    <w:p w:rsidR="005B4D0C" w:rsidRDefault="005B4D0C" w:rsidP="00FD5AA8">
      <w:pPr>
        <w:jc w:val="both"/>
        <w:outlineLvl w:val="0"/>
        <w:rPr>
          <w:sz w:val="22"/>
          <w:szCs w:val="22"/>
        </w:rPr>
      </w:pPr>
    </w:p>
    <w:p w:rsidR="005B4D0C" w:rsidRDefault="005B4D0C" w:rsidP="00FD5AA8">
      <w:pPr>
        <w:jc w:val="both"/>
        <w:outlineLvl w:val="0"/>
        <w:rPr>
          <w:sz w:val="22"/>
          <w:szCs w:val="22"/>
        </w:rPr>
      </w:pPr>
    </w:p>
    <w:p w:rsidR="005B4D0C" w:rsidRDefault="005B4D0C" w:rsidP="005B4D0C">
      <w:pPr>
        <w:jc w:val="right"/>
        <w:outlineLvl w:val="0"/>
        <w:rPr>
          <w:sz w:val="22"/>
          <w:szCs w:val="22"/>
        </w:rPr>
      </w:pPr>
      <w:r>
        <w:rPr>
          <w:sz w:val="22"/>
          <w:szCs w:val="22"/>
        </w:rPr>
        <w:t>Odgovorna osoba</w:t>
      </w:r>
    </w:p>
    <w:p w:rsidR="005B4D0C" w:rsidRDefault="005B4D0C" w:rsidP="005B4D0C">
      <w:pPr>
        <w:jc w:val="right"/>
        <w:outlineLvl w:val="0"/>
        <w:rPr>
          <w:sz w:val="22"/>
          <w:szCs w:val="22"/>
        </w:rPr>
      </w:pPr>
      <w:r>
        <w:rPr>
          <w:sz w:val="22"/>
          <w:szCs w:val="22"/>
        </w:rPr>
        <w:t>NAČELNIK:</w:t>
      </w:r>
    </w:p>
    <w:p w:rsidR="005B4D0C" w:rsidRDefault="005B4D0C" w:rsidP="005B4D0C">
      <w:pPr>
        <w:jc w:val="right"/>
        <w:outlineLvl w:val="0"/>
        <w:rPr>
          <w:sz w:val="22"/>
          <w:szCs w:val="22"/>
        </w:rPr>
      </w:pPr>
      <w:r>
        <w:rPr>
          <w:sz w:val="22"/>
          <w:szCs w:val="22"/>
        </w:rPr>
        <w:t xml:space="preserve">Mihael </w:t>
      </w:r>
      <w:proofErr w:type="spellStart"/>
      <w:r>
        <w:rPr>
          <w:sz w:val="22"/>
          <w:szCs w:val="22"/>
        </w:rPr>
        <w:t>Grbavec</w:t>
      </w:r>
      <w:proofErr w:type="spellEnd"/>
    </w:p>
    <w:tbl>
      <w:tblPr>
        <w:tblpPr w:leftFromText="180" w:rightFromText="180" w:vertAnchor="page" w:horzAnchor="page" w:tblpX="1" w:tblpY="4320"/>
        <w:tblW w:w="24275" w:type="dxa"/>
        <w:tblLook w:val="04A0" w:firstRow="1" w:lastRow="0" w:firstColumn="1" w:lastColumn="0" w:noHBand="0" w:noVBand="1"/>
      </w:tblPr>
      <w:tblGrid>
        <w:gridCol w:w="954"/>
        <w:gridCol w:w="10196"/>
        <w:gridCol w:w="1885"/>
        <w:gridCol w:w="2658"/>
        <w:gridCol w:w="1885"/>
        <w:gridCol w:w="1131"/>
        <w:gridCol w:w="236"/>
        <w:gridCol w:w="3847"/>
        <w:gridCol w:w="2658"/>
        <w:gridCol w:w="1885"/>
        <w:gridCol w:w="2837"/>
        <w:gridCol w:w="1508"/>
      </w:tblGrid>
      <w:tr w:rsidR="005B4D0C" w:rsidTr="005B4D0C">
        <w:trPr>
          <w:trHeight w:val="300"/>
        </w:trPr>
        <w:tc>
          <w:tcPr>
            <w:tcW w:w="960" w:type="dxa"/>
            <w:tcBorders>
              <w:top w:val="nil"/>
              <w:left w:val="nil"/>
              <w:bottom w:val="nil"/>
              <w:right w:val="nil"/>
            </w:tcBorders>
            <w:shd w:val="clear" w:color="auto" w:fill="auto"/>
            <w:noWrap/>
            <w:vAlign w:val="bottom"/>
          </w:tcPr>
          <w:p w:rsidR="005B4D0C" w:rsidRDefault="005B4D0C" w:rsidP="005B4D0C">
            <w:pPr>
              <w:jc w:val="center"/>
              <w:rPr>
                <w:rFonts w:ascii="Calibri" w:hAnsi="Calibri" w:cs="Calibri"/>
                <w:b/>
                <w:bCs/>
                <w:color w:val="000000"/>
                <w:sz w:val="22"/>
                <w:szCs w:val="22"/>
              </w:rPr>
            </w:pPr>
          </w:p>
        </w:tc>
        <w:tc>
          <w:tcPr>
            <w:tcW w:w="2620" w:type="dxa"/>
            <w:tcBorders>
              <w:top w:val="nil"/>
              <w:left w:val="nil"/>
              <w:bottom w:val="nil"/>
              <w:right w:val="nil"/>
            </w:tcBorders>
            <w:shd w:val="clear" w:color="auto" w:fill="auto"/>
            <w:noWrap/>
            <w:vAlign w:val="bottom"/>
          </w:tcPr>
          <w:p w:rsidR="005B4D0C" w:rsidRDefault="005B4D0C" w:rsidP="005B4D0C">
            <w:pPr>
              <w:jc w:val="center"/>
              <w:rPr>
                <w:rFonts w:ascii="Calibri" w:hAnsi="Calibri" w:cs="Calibri"/>
                <w:b/>
                <w:bCs/>
                <w:color w:val="000000"/>
                <w:sz w:val="22"/>
                <w:szCs w:val="22"/>
              </w:rPr>
            </w:pPr>
          </w:p>
        </w:tc>
        <w:tc>
          <w:tcPr>
            <w:tcW w:w="1900" w:type="dxa"/>
            <w:tcBorders>
              <w:top w:val="nil"/>
              <w:left w:val="nil"/>
              <w:bottom w:val="nil"/>
              <w:right w:val="nil"/>
            </w:tcBorders>
            <w:shd w:val="clear" w:color="auto" w:fill="auto"/>
            <w:noWrap/>
            <w:vAlign w:val="bottom"/>
          </w:tcPr>
          <w:p w:rsidR="005B4D0C" w:rsidRDefault="005B4D0C" w:rsidP="005B4D0C">
            <w:pPr>
              <w:jc w:val="center"/>
              <w:rPr>
                <w:rFonts w:ascii="Calibri" w:hAnsi="Calibri" w:cs="Calibri"/>
                <w:b/>
                <w:bCs/>
                <w:color w:val="000000"/>
                <w:sz w:val="22"/>
                <w:szCs w:val="22"/>
              </w:rPr>
            </w:pPr>
          </w:p>
        </w:tc>
        <w:tc>
          <w:tcPr>
            <w:tcW w:w="2680" w:type="dxa"/>
            <w:tcBorders>
              <w:top w:val="nil"/>
              <w:left w:val="nil"/>
              <w:bottom w:val="nil"/>
              <w:right w:val="nil"/>
            </w:tcBorders>
            <w:shd w:val="clear" w:color="auto" w:fill="auto"/>
            <w:noWrap/>
            <w:vAlign w:val="bottom"/>
          </w:tcPr>
          <w:p w:rsidR="005B4D0C" w:rsidRDefault="005B4D0C" w:rsidP="005B4D0C">
            <w:pPr>
              <w:jc w:val="center"/>
              <w:rPr>
                <w:rFonts w:ascii="Calibri" w:hAnsi="Calibri" w:cs="Calibri"/>
                <w:b/>
                <w:bCs/>
                <w:color w:val="000000"/>
                <w:sz w:val="22"/>
                <w:szCs w:val="22"/>
              </w:rPr>
            </w:pPr>
          </w:p>
        </w:tc>
        <w:tc>
          <w:tcPr>
            <w:tcW w:w="1900" w:type="dxa"/>
            <w:tcBorders>
              <w:top w:val="nil"/>
              <w:left w:val="nil"/>
              <w:bottom w:val="nil"/>
              <w:right w:val="nil"/>
            </w:tcBorders>
            <w:shd w:val="clear" w:color="auto" w:fill="auto"/>
            <w:noWrap/>
            <w:vAlign w:val="bottom"/>
          </w:tcPr>
          <w:p w:rsidR="005B4D0C" w:rsidRDefault="005B4D0C" w:rsidP="005B4D0C">
            <w:pPr>
              <w:jc w:val="center"/>
              <w:rPr>
                <w:rFonts w:ascii="Calibri" w:hAnsi="Calibri" w:cs="Calibri"/>
                <w:b/>
                <w:bCs/>
                <w:color w:val="000000"/>
                <w:sz w:val="22"/>
                <w:szCs w:val="22"/>
              </w:rPr>
            </w:pPr>
          </w:p>
        </w:tc>
        <w:tc>
          <w:tcPr>
            <w:tcW w:w="1139" w:type="dxa"/>
            <w:tcBorders>
              <w:top w:val="nil"/>
              <w:left w:val="nil"/>
              <w:bottom w:val="nil"/>
              <w:right w:val="nil"/>
            </w:tcBorders>
            <w:shd w:val="clear" w:color="auto" w:fill="auto"/>
            <w:noWrap/>
            <w:vAlign w:val="bottom"/>
          </w:tcPr>
          <w:p w:rsidR="005B4D0C" w:rsidRDefault="005B4D0C" w:rsidP="005B4D0C">
            <w:pPr>
              <w:jc w:val="center"/>
              <w:rPr>
                <w:rFonts w:ascii="Calibri" w:hAnsi="Calibri" w:cs="Calibri"/>
                <w:b/>
                <w:bCs/>
                <w:color w:val="000000"/>
                <w:sz w:val="22"/>
                <w:szCs w:val="22"/>
              </w:rPr>
            </w:pPr>
          </w:p>
        </w:tc>
        <w:tc>
          <w:tcPr>
            <w:tcW w:w="236" w:type="dxa"/>
            <w:tcBorders>
              <w:top w:val="nil"/>
              <w:left w:val="nil"/>
              <w:bottom w:val="nil"/>
              <w:right w:val="nil"/>
            </w:tcBorders>
            <w:shd w:val="clear" w:color="auto" w:fill="auto"/>
            <w:noWrap/>
            <w:vAlign w:val="bottom"/>
          </w:tcPr>
          <w:p w:rsidR="005B4D0C" w:rsidRDefault="005B4D0C" w:rsidP="005B4D0C">
            <w:pPr>
              <w:jc w:val="center"/>
              <w:rPr>
                <w:rFonts w:ascii="Calibri" w:hAnsi="Calibri" w:cs="Calibri"/>
                <w:b/>
                <w:bCs/>
                <w:color w:val="000000"/>
                <w:sz w:val="22"/>
                <w:szCs w:val="22"/>
              </w:rPr>
            </w:pPr>
          </w:p>
        </w:tc>
        <w:tc>
          <w:tcPr>
            <w:tcW w:w="3880" w:type="dxa"/>
            <w:tcBorders>
              <w:top w:val="nil"/>
              <w:left w:val="nil"/>
              <w:bottom w:val="nil"/>
              <w:right w:val="nil"/>
            </w:tcBorders>
            <w:shd w:val="clear" w:color="auto" w:fill="auto"/>
            <w:noWrap/>
            <w:vAlign w:val="bottom"/>
          </w:tcPr>
          <w:p w:rsidR="005B4D0C" w:rsidRDefault="005B4D0C" w:rsidP="005B4D0C">
            <w:pPr>
              <w:jc w:val="center"/>
              <w:rPr>
                <w:rFonts w:ascii="Calibri" w:hAnsi="Calibri" w:cs="Calibri"/>
                <w:b/>
                <w:bCs/>
                <w:color w:val="000000"/>
                <w:sz w:val="22"/>
                <w:szCs w:val="22"/>
              </w:rPr>
            </w:pPr>
          </w:p>
        </w:tc>
        <w:tc>
          <w:tcPr>
            <w:tcW w:w="2680" w:type="dxa"/>
            <w:tcBorders>
              <w:top w:val="nil"/>
              <w:left w:val="nil"/>
              <w:bottom w:val="nil"/>
              <w:right w:val="nil"/>
            </w:tcBorders>
            <w:shd w:val="clear" w:color="auto" w:fill="auto"/>
            <w:noWrap/>
            <w:vAlign w:val="bottom"/>
          </w:tcPr>
          <w:p w:rsidR="005B4D0C" w:rsidRDefault="005B4D0C" w:rsidP="005B4D0C">
            <w:pPr>
              <w:jc w:val="center"/>
              <w:rPr>
                <w:rFonts w:ascii="Calibri" w:hAnsi="Calibri" w:cs="Calibri"/>
                <w:b/>
                <w:bCs/>
                <w:color w:val="000000"/>
                <w:sz w:val="22"/>
                <w:szCs w:val="22"/>
              </w:rPr>
            </w:pPr>
          </w:p>
        </w:tc>
        <w:tc>
          <w:tcPr>
            <w:tcW w:w="1900" w:type="dxa"/>
            <w:tcBorders>
              <w:top w:val="nil"/>
              <w:left w:val="nil"/>
              <w:bottom w:val="nil"/>
              <w:right w:val="nil"/>
            </w:tcBorders>
            <w:shd w:val="clear" w:color="auto" w:fill="auto"/>
            <w:noWrap/>
            <w:vAlign w:val="bottom"/>
          </w:tcPr>
          <w:p w:rsidR="005B4D0C" w:rsidRDefault="005B4D0C" w:rsidP="005B4D0C">
            <w:pPr>
              <w:jc w:val="center"/>
              <w:rPr>
                <w:rFonts w:ascii="Calibri" w:hAnsi="Calibri" w:cs="Calibri"/>
                <w:b/>
                <w:bCs/>
                <w:color w:val="000000"/>
                <w:sz w:val="22"/>
                <w:szCs w:val="22"/>
              </w:rPr>
            </w:pPr>
          </w:p>
        </w:tc>
        <w:tc>
          <w:tcPr>
            <w:tcW w:w="2860" w:type="dxa"/>
            <w:tcBorders>
              <w:top w:val="nil"/>
              <w:left w:val="nil"/>
              <w:bottom w:val="nil"/>
              <w:right w:val="nil"/>
            </w:tcBorders>
            <w:shd w:val="clear" w:color="auto" w:fill="auto"/>
            <w:noWrap/>
            <w:vAlign w:val="bottom"/>
          </w:tcPr>
          <w:p w:rsidR="005B4D0C" w:rsidRDefault="005B4D0C" w:rsidP="005B4D0C">
            <w:pPr>
              <w:jc w:val="center"/>
              <w:rPr>
                <w:rFonts w:ascii="Calibri" w:hAnsi="Calibri" w:cs="Calibri"/>
                <w:b/>
                <w:bCs/>
                <w:color w:val="000000"/>
                <w:sz w:val="22"/>
                <w:szCs w:val="22"/>
              </w:rPr>
            </w:pPr>
          </w:p>
        </w:tc>
        <w:tc>
          <w:tcPr>
            <w:tcW w:w="1520" w:type="dxa"/>
            <w:tcBorders>
              <w:top w:val="nil"/>
              <w:left w:val="nil"/>
              <w:bottom w:val="nil"/>
              <w:right w:val="nil"/>
            </w:tcBorders>
            <w:shd w:val="clear" w:color="auto" w:fill="auto"/>
            <w:noWrap/>
            <w:vAlign w:val="bottom"/>
          </w:tcPr>
          <w:p w:rsidR="005B4D0C" w:rsidRDefault="005B4D0C" w:rsidP="005B4D0C">
            <w:pPr>
              <w:jc w:val="center"/>
              <w:rPr>
                <w:rFonts w:ascii="Calibri" w:hAnsi="Calibri" w:cs="Calibri"/>
                <w:b/>
                <w:bCs/>
                <w:color w:val="000000"/>
                <w:sz w:val="22"/>
                <w:szCs w:val="22"/>
              </w:rPr>
            </w:pPr>
          </w:p>
        </w:tc>
      </w:tr>
      <w:tr w:rsidR="005B4D0C" w:rsidTr="005B4D0C">
        <w:trPr>
          <w:trHeight w:val="900"/>
        </w:trPr>
        <w:tc>
          <w:tcPr>
            <w:tcW w:w="96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262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190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268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190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1139"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236"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3880" w:type="dxa"/>
            <w:tcBorders>
              <w:top w:val="nil"/>
              <w:left w:val="nil"/>
              <w:bottom w:val="nil"/>
              <w:right w:val="nil"/>
            </w:tcBorders>
            <w:shd w:val="clear" w:color="auto" w:fill="auto"/>
            <w:vAlign w:val="center"/>
          </w:tcPr>
          <w:p w:rsidR="005B4D0C" w:rsidRDefault="005B4D0C" w:rsidP="005B4D0C">
            <w:pPr>
              <w:jc w:val="center"/>
              <w:rPr>
                <w:rFonts w:ascii="Calibri" w:hAnsi="Calibri" w:cs="Calibri"/>
                <w:color w:val="000000"/>
                <w:sz w:val="22"/>
                <w:szCs w:val="22"/>
              </w:rPr>
            </w:pPr>
          </w:p>
        </w:tc>
        <w:tc>
          <w:tcPr>
            <w:tcW w:w="268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190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286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1520" w:type="dxa"/>
            <w:tcBorders>
              <w:top w:val="nil"/>
              <w:left w:val="nil"/>
              <w:bottom w:val="nil"/>
              <w:right w:val="nil"/>
            </w:tcBorders>
            <w:shd w:val="clear" w:color="auto" w:fill="auto"/>
            <w:noWrap/>
            <w:vAlign w:val="bottom"/>
          </w:tcPr>
          <w:p w:rsidR="005B4D0C" w:rsidRDefault="005B4D0C" w:rsidP="005B4D0C">
            <w:pPr>
              <w:jc w:val="center"/>
              <w:rPr>
                <w:rFonts w:ascii="Calibri" w:hAnsi="Calibri" w:cs="Calibri"/>
                <w:color w:val="000000"/>
                <w:sz w:val="22"/>
                <w:szCs w:val="22"/>
              </w:rPr>
            </w:pPr>
          </w:p>
        </w:tc>
      </w:tr>
      <w:tr w:rsidR="005B4D0C" w:rsidTr="005B4D0C">
        <w:trPr>
          <w:trHeight w:val="900"/>
        </w:trPr>
        <w:tc>
          <w:tcPr>
            <w:tcW w:w="96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262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190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268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190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1139"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236"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3880" w:type="dxa"/>
            <w:tcBorders>
              <w:top w:val="nil"/>
              <w:left w:val="nil"/>
              <w:bottom w:val="nil"/>
              <w:right w:val="nil"/>
            </w:tcBorders>
            <w:shd w:val="clear" w:color="auto" w:fill="auto"/>
            <w:vAlign w:val="center"/>
          </w:tcPr>
          <w:p w:rsidR="005B4D0C" w:rsidRDefault="005B4D0C" w:rsidP="005B4D0C">
            <w:pPr>
              <w:jc w:val="center"/>
              <w:rPr>
                <w:rFonts w:ascii="Calibri" w:hAnsi="Calibri" w:cs="Calibri"/>
                <w:color w:val="000000"/>
                <w:sz w:val="22"/>
                <w:szCs w:val="22"/>
              </w:rPr>
            </w:pPr>
          </w:p>
        </w:tc>
        <w:tc>
          <w:tcPr>
            <w:tcW w:w="268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190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286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152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r>
      <w:tr w:rsidR="005B4D0C" w:rsidTr="005B4D0C">
        <w:trPr>
          <w:trHeight w:val="300"/>
        </w:trPr>
        <w:tc>
          <w:tcPr>
            <w:tcW w:w="960" w:type="dxa"/>
            <w:vMerge w:val="restart"/>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2620" w:type="dxa"/>
            <w:vMerge w:val="restart"/>
            <w:tcBorders>
              <w:top w:val="nil"/>
              <w:left w:val="nil"/>
              <w:bottom w:val="nil"/>
              <w:right w:val="nil"/>
            </w:tcBorders>
            <w:shd w:val="clear" w:color="auto" w:fill="auto"/>
            <w:noWrap/>
            <w:vAlign w:val="center"/>
          </w:tcPr>
          <w:p w:rsidR="005B4D0C" w:rsidRDefault="005B4D0C" w:rsidP="005B4D0C">
            <w:pPr>
              <w:rPr>
                <w:rFonts w:ascii="Calibri" w:hAnsi="Calibri" w:cs="Calibri"/>
                <w:color w:val="000000"/>
                <w:sz w:val="22"/>
                <w:szCs w:val="22"/>
              </w:rPr>
            </w:pPr>
          </w:p>
          <w:p w:rsidR="005B4D0C" w:rsidRDefault="005B4D0C" w:rsidP="005B4D0C">
            <w:pPr>
              <w:rPr>
                <w:rFonts w:ascii="Calibri" w:hAnsi="Calibri" w:cs="Calibri"/>
                <w:color w:val="000000"/>
                <w:sz w:val="22"/>
                <w:szCs w:val="22"/>
              </w:rPr>
            </w:pPr>
            <w:r>
              <w:rPr>
                <w:rFonts w:ascii="Calibri" w:hAnsi="Calibri" w:cs="Calibri"/>
                <w:color w:val="000000"/>
                <w:sz w:val="22"/>
                <w:szCs w:val="22"/>
              </w:rPr>
              <w:t>PRIMLJENA</w:t>
            </w:r>
          </w:p>
          <w:p w:rsidR="005B4D0C" w:rsidRDefault="005B4D0C" w:rsidP="005B4D0C">
            <w:pPr>
              <w:rPr>
                <w:rFonts w:ascii="Calibri" w:hAnsi="Calibri" w:cs="Calibri"/>
                <w:color w:val="000000"/>
                <w:sz w:val="22"/>
                <w:szCs w:val="22"/>
              </w:rPr>
            </w:pPr>
          </w:p>
          <w:tbl>
            <w:tblPr>
              <w:tblW w:w="10060" w:type="dxa"/>
              <w:tblLook w:val="04A0" w:firstRow="1" w:lastRow="0" w:firstColumn="1" w:lastColumn="0" w:noHBand="0" w:noVBand="1"/>
            </w:tblPr>
            <w:tblGrid>
              <w:gridCol w:w="953"/>
              <w:gridCol w:w="2599"/>
              <w:gridCol w:w="1885"/>
              <w:gridCol w:w="2658"/>
              <w:gridCol w:w="1885"/>
            </w:tblGrid>
            <w:tr w:rsidR="005B4D0C" w:rsidTr="005B4D0C">
              <w:trPr>
                <w:trHeight w:val="300"/>
              </w:trPr>
              <w:tc>
                <w:tcPr>
                  <w:tcW w:w="960" w:type="dxa"/>
                  <w:tcBorders>
                    <w:top w:val="nil"/>
                    <w:left w:val="nil"/>
                    <w:bottom w:val="nil"/>
                    <w:right w:val="nil"/>
                  </w:tcBorders>
                  <w:shd w:val="clear" w:color="auto" w:fill="auto"/>
                  <w:noWrap/>
                  <w:vAlign w:val="bottom"/>
                  <w:hideMark/>
                </w:tcPr>
                <w:p w:rsidR="005B4D0C" w:rsidRDefault="005B4D0C" w:rsidP="005B4D0C">
                  <w:pPr>
                    <w:framePr w:hSpace="180" w:wrap="around" w:vAnchor="page" w:hAnchor="page" w:x="1" w:y="4320"/>
                    <w:jc w:val="center"/>
                    <w:rPr>
                      <w:rFonts w:ascii="Calibri" w:hAnsi="Calibri" w:cs="Calibri"/>
                      <w:b/>
                      <w:bCs/>
                      <w:color w:val="000000"/>
                      <w:sz w:val="22"/>
                      <w:szCs w:val="22"/>
                    </w:rPr>
                  </w:pPr>
                  <w:r>
                    <w:rPr>
                      <w:rFonts w:ascii="Calibri" w:hAnsi="Calibri" w:cs="Calibri"/>
                      <w:b/>
                      <w:bCs/>
                      <w:color w:val="000000"/>
                      <w:sz w:val="22"/>
                      <w:szCs w:val="22"/>
                    </w:rPr>
                    <w:t>godina</w:t>
                  </w:r>
                </w:p>
              </w:tc>
              <w:tc>
                <w:tcPr>
                  <w:tcW w:w="2620" w:type="dxa"/>
                  <w:tcBorders>
                    <w:top w:val="nil"/>
                    <w:left w:val="nil"/>
                    <w:bottom w:val="nil"/>
                    <w:right w:val="nil"/>
                  </w:tcBorders>
                  <w:shd w:val="clear" w:color="auto" w:fill="auto"/>
                  <w:noWrap/>
                  <w:vAlign w:val="bottom"/>
                  <w:hideMark/>
                </w:tcPr>
                <w:p w:rsidR="005B4D0C" w:rsidRDefault="005B4D0C" w:rsidP="005B4D0C">
                  <w:pPr>
                    <w:framePr w:hSpace="180" w:wrap="around" w:vAnchor="page" w:hAnchor="page" w:x="1" w:y="4320"/>
                    <w:jc w:val="center"/>
                    <w:rPr>
                      <w:rFonts w:ascii="Calibri" w:hAnsi="Calibri" w:cs="Calibri"/>
                      <w:b/>
                      <w:bCs/>
                      <w:color w:val="000000"/>
                      <w:sz w:val="22"/>
                      <w:szCs w:val="22"/>
                    </w:rPr>
                  </w:pPr>
                  <w:r>
                    <w:rPr>
                      <w:rFonts w:ascii="Calibri" w:hAnsi="Calibri" w:cs="Calibri"/>
                      <w:b/>
                      <w:bCs/>
                      <w:color w:val="000000"/>
                      <w:sz w:val="22"/>
                      <w:szCs w:val="22"/>
                    </w:rPr>
                    <w:t>naziv</w:t>
                  </w:r>
                </w:p>
              </w:tc>
              <w:tc>
                <w:tcPr>
                  <w:tcW w:w="1900" w:type="dxa"/>
                  <w:tcBorders>
                    <w:top w:val="nil"/>
                    <w:left w:val="nil"/>
                    <w:bottom w:val="nil"/>
                    <w:right w:val="nil"/>
                  </w:tcBorders>
                  <w:shd w:val="clear" w:color="auto" w:fill="auto"/>
                  <w:noWrap/>
                  <w:vAlign w:val="bottom"/>
                  <w:hideMark/>
                </w:tcPr>
                <w:p w:rsidR="005B4D0C" w:rsidRDefault="005B4D0C" w:rsidP="005B4D0C">
                  <w:pPr>
                    <w:framePr w:hSpace="180" w:wrap="around" w:vAnchor="page" w:hAnchor="page" w:x="1" w:y="4320"/>
                    <w:jc w:val="center"/>
                    <w:rPr>
                      <w:rFonts w:ascii="Calibri" w:hAnsi="Calibri" w:cs="Calibri"/>
                      <w:b/>
                      <w:bCs/>
                      <w:color w:val="000000"/>
                      <w:sz w:val="22"/>
                      <w:szCs w:val="22"/>
                    </w:rPr>
                  </w:pPr>
                  <w:r>
                    <w:rPr>
                      <w:rFonts w:ascii="Calibri" w:hAnsi="Calibri" w:cs="Calibri"/>
                      <w:b/>
                      <w:bCs/>
                      <w:color w:val="000000"/>
                      <w:sz w:val="22"/>
                      <w:szCs w:val="22"/>
                    </w:rPr>
                    <w:t>Dužnik</w:t>
                  </w:r>
                </w:p>
              </w:tc>
              <w:tc>
                <w:tcPr>
                  <w:tcW w:w="2680" w:type="dxa"/>
                  <w:tcBorders>
                    <w:top w:val="nil"/>
                    <w:left w:val="nil"/>
                    <w:bottom w:val="nil"/>
                    <w:right w:val="nil"/>
                  </w:tcBorders>
                  <w:shd w:val="clear" w:color="auto" w:fill="auto"/>
                  <w:noWrap/>
                  <w:vAlign w:val="bottom"/>
                  <w:hideMark/>
                </w:tcPr>
                <w:p w:rsidR="005B4D0C" w:rsidRDefault="005B4D0C" w:rsidP="005B4D0C">
                  <w:pPr>
                    <w:framePr w:hSpace="180" w:wrap="around" w:vAnchor="page" w:hAnchor="page" w:x="1" w:y="4320"/>
                    <w:jc w:val="center"/>
                    <w:rPr>
                      <w:rFonts w:ascii="Calibri" w:hAnsi="Calibri" w:cs="Calibri"/>
                      <w:b/>
                      <w:bCs/>
                      <w:color w:val="000000"/>
                      <w:sz w:val="22"/>
                      <w:szCs w:val="22"/>
                    </w:rPr>
                  </w:pPr>
                  <w:r>
                    <w:rPr>
                      <w:rFonts w:ascii="Calibri" w:hAnsi="Calibri" w:cs="Calibri"/>
                      <w:b/>
                      <w:bCs/>
                      <w:color w:val="000000"/>
                      <w:sz w:val="22"/>
                      <w:szCs w:val="22"/>
                    </w:rPr>
                    <w:t>Vjerovnik</w:t>
                  </w:r>
                </w:p>
              </w:tc>
              <w:tc>
                <w:tcPr>
                  <w:tcW w:w="1900" w:type="dxa"/>
                  <w:tcBorders>
                    <w:top w:val="nil"/>
                    <w:left w:val="nil"/>
                    <w:bottom w:val="nil"/>
                    <w:right w:val="nil"/>
                  </w:tcBorders>
                  <w:shd w:val="clear" w:color="auto" w:fill="auto"/>
                  <w:noWrap/>
                  <w:vAlign w:val="bottom"/>
                  <w:hideMark/>
                </w:tcPr>
                <w:p w:rsidR="005B4D0C" w:rsidRDefault="005B4D0C" w:rsidP="005B4D0C">
                  <w:pPr>
                    <w:framePr w:hSpace="180" w:wrap="around" w:vAnchor="page" w:hAnchor="page" w:x="1" w:y="4320"/>
                    <w:jc w:val="center"/>
                    <w:rPr>
                      <w:rFonts w:ascii="Calibri" w:hAnsi="Calibri" w:cs="Calibri"/>
                      <w:b/>
                      <w:bCs/>
                      <w:color w:val="000000"/>
                      <w:sz w:val="22"/>
                      <w:szCs w:val="22"/>
                    </w:rPr>
                  </w:pPr>
                  <w:r>
                    <w:rPr>
                      <w:rFonts w:ascii="Calibri" w:hAnsi="Calibri" w:cs="Calibri"/>
                      <w:b/>
                      <w:bCs/>
                      <w:color w:val="000000"/>
                      <w:sz w:val="22"/>
                      <w:szCs w:val="22"/>
                    </w:rPr>
                    <w:t>iznos</w:t>
                  </w:r>
                </w:p>
              </w:tc>
            </w:tr>
            <w:tr w:rsidR="005B4D0C" w:rsidTr="005B4D0C">
              <w:trPr>
                <w:trHeight w:val="900"/>
              </w:trPr>
              <w:tc>
                <w:tcPr>
                  <w:tcW w:w="960" w:type="dxa"/>
                  <w:tcBorders>
                    <w:top w:val="nil"/>
                    <w:left w:val="nil"/>
                    <w:bottom w:val="nil"/>
                    <w:right w:val="nil"/>
                  </w:tcBorders>
                  <w:shd w:val="clear" w:color="auto" w:fill="auto"/>
                  <w:noWrap/>
                  <w:vAlign w:val="center"/>
                  <w:hideMark/>
                </w:tcPr>
                <w:p w:rsidR="005B4D0C" w:rsidRDefault="005B4D0C" w:rsidP="005B4D0C">
                  <w:pPr>
                    <w:framePr w:hSpace="180" w:wrap="around" w:vAnchor="page" w:hAnchor="page" w:x="1" w:y="4320"/>
                    <w:jc w:val="center"/>
                    <w:rPr>
                      <w:rFonts w:ascii="Calibri" w:hAnsi="Calibri" w:cs="Calibri"/>
                      <w:color w:val="000000"/>
                      <w:sz w:val="22"/>
                      <w:szCs w:val="22"/>
                    </w:rPr>
                  </w:pPr>
                  <w:r>
                    <w:rPr>
                      <w:rFonts w:ascii="Calibri" w:hAnsi="Calibri" w:cs="Calibri"/>
                      <w:color w:val="000000"/>
                      <w:sz w:val="22"/>
                      <w:szCs w:val="22"/>
                    </w:rPr>
                    <w:t>2024.</w:t>
                  </w:r>
                </w:p>
              </w:tc>
              <w:tc>
                <w:tcPr>
                  <w:tcW w:w="2620" w:type="dxa"/>
                  <w:tcBorders>
                    <w:top w:val="nil"/>
                    <w:left w:val="nil"/>
                    <w:bottom w:val="nil"/>
                    <w:right w:val="nil"/>
                  </w:tcBorders>
                  <w:shd w:val="clear" w:color="auto" w:fill="auto"/>
                  <w:noWrap/>
                  <w:vAlign w:val="center"/>
                  <w:hideMark/>
                </w:tcPr>
                <w:p w:rsidR="005B4D0C" w:rsidRDefault="005B4D0C" w:rsidP="005B4D0C">
                  <w:pPr>
                    <w:framePr w:hSpace="180" w:wrap="around" w:vAnchor="page" w:hAnchor="page" w:x="1" w:y="4320"/>
                    <w:jc w:val="center"/>
                    <w:rPr>
                      <w:rFonts w:ascii="Calibri" w:hAnsi="Calibri" w:cs="Calibri"/>
                      <w:color w:val="000000"/>
                      <w:sz w:val="22"/>
                      <w:szCs w:val="22"/>
                    </w:rPr>
                  </w:pPr>
                  <w:r>
                    <w:rPr>
                      <w:rFonts w:ascii="Calibri" w:hAnsi="Calibri" w:cs="Calibri"/>
                      <w:color w:val="000000"/>
                      <w:sz w:val="22"/>
                      <w:szCs w:val="22"/>
                    </w:rPr>
                    <w:t>Bjanko zadužnica</w:t>
                  </w:r>
                </w:p>
              </w:tc>
              <w:tc>
                <w:tcPr>
                  <w:tcW w:w="1900" w:type="dxa"/>
                  <w:tcBorders>
                    <w:top w:val="nil"/>
                    <w:left w:val="nil"/>
                    <w:bottom w:val="nil"/>
                    <w:right w:val="nil"/>
                  </w:tcBorders>
                  <w:shd w:val="clear" w:color="auto" w:fill="auto"/>
                  <w:noWrap/>
                  <w:vAlign w:val="center"/>
                  <w:hideMark/>
                </w:tcPr>
                <w:p w:rsidR="005B4D0C" w:rsidRDefault="005B4D0C" w:rsidP="005B4D0C">
                  <w:pPr>
                    <w:framePr w:hSpace="180" w:wrap="around" w:vAnchor="page" w:hAnchor="page" w:x="1" w:y="4320"/>
                    <w:jc w:val="center"/>
                    <w:rPr>
                      <w:rFonts w:ascii="Calibri" w:hAnsi="Calibri" w:cs="Calibri"/>
                      <w:color w:val="000000"/>
                      <w:sz w:val="22"/>
                      <w:szCs w:val="22"/>
                    </w:rPr>
                  </w:pPr>
                  <w:r>
                    <w:rPr>
                      <w:rFonts w:ascii="Calibri" w:hAnsi="Calibri" w:cs="Calibri"/>
                      <w:color w:val="000000"/>
                      <w:sz w:val="22"/>
                      <w:szCs w:val="22"/>
                    </w:rPr>
                    <w:t>Tegra d.o.o.</w:t>
                  </w:r>
                </w:p>
              </w:tc>
              <w:tc>
                <w:tcPr>
                  <w:tcW w:w="2680" w:type="dxa"/>
                  <w:tcBorders>
                    <w:top w:val="nil"/>
                    <w:left w:val="nil"/>
                    <w:bottom w:val="nil"/>
                    <w:right w:val="nil"/>
                  </w:tcBorders>
                  <w:shd w:val="clear" w:color="auto" w:fill="auto"/>
                  <w:noWrap/>
                  <w:vAlign w:val="center"/>
                  <w:hideMark/>
                </w:tcPr>
                <w:p w:rsidR="005B4D0C" w:rsidRDefault="005B4D0C" w:rsidP="005B4D0C">
                  <w:pPr>
                    <w:framePr w:hSpace="180" w:wrap="around" w:vAnchor="page" w:hAnchor="page" w:x="1" w:y="4320"/>
                    <w:jc w:val="center"/>
                    <w:rPr>
                      <w:rFonts w:ascii="Calibri" w:hAnsi="Calibri" w:cs="Calibri"/>
                      <w:color w:val="000000"/>
                      <w:sz w:val="22"/>
                      <w:szCs w:val="22"/>
                    </w:rPr>
                  </w:pPr>
                  <w:r>
                    <w:rPr>
                      <w:rFonts w:ascii="Calibri" w:hAnsi="Calibri" w:cs="Calibri"/>
                      <w:color w:val="000000"/>
                      <w:sz w:val="22"/>
                      <w:szCs w:val="22"/>
                    </w:rPr>
                    <w:t xml:space="preserve">Općina </w:t>
                  </w:r>
                  <w:proofErr w:type="spellStart"/>
                  <w:r>
                    <w:rPr>
                      <w:rFonts w:ascii="Calibri" w:hAnsi="Calibri" w:cs="Calibri"/>
                      <w:color w:val="000000"/>
                      <w:sz w:val="22"/>
                      <w:szCs w:val="22"/>
                    </w:rPr>
                    <w:t>Vratišinec</w:t>
                  </w:r>
                  <w:proofErr w:type="spellEnd"/>
                </w:p>
              </w:tc>
              <w:tc>
                <w:tcPr>
                  <w:tcW w:w="1900" w:type="dxa"/>
                  <w:tcBorders>
                    <w:top w:val="nil"/>
                    <w:left w:val="nil"/>
                    <w:bottom w:val="nil"/>
                    <w:right w:val="nil"/>
                  </w:tcBorders>
                  <w:shd w:val="clear" w:color="auto" w:fill="auto"/>
                  <w:noWrap/>
                  <w:vAlign w:val="center"/>
                  <w:hideMark/>
                </w:tcPr>
                <w:p w:rsidR="005B4D0C" w:rsidRDefault="005B4D0C" w:rsidP="005B4D0C">
                  <w:pPr>
                    <w:framePr w:hSpace="180" w:wrap="around" w:vAnchor="page" w:hAnchor="page" w:x="1" w:y="4320"/>
                    <w:jc w:val="center"/>
                    <w:rPr>
                      <w:rFonts w:ascii="Calibri" w:hAnsi="Calibri" w:cs="Calibri"/>
                      <w:color w:val="000000"/>
                      <w:sz w:val="22"/>
                      <w:szCs w:val="22"/>
                    </w:rPr>
                  </w:pPr>
                  <w:r>
                    <w:rPr>
                      <w:rFonts w:ascii="Calibri" w:hAnsi="Calibri" w:cs="Calibri"/>
                      <w:color w:val="000000"/>
                      <w:sz w:val="22"/>
                      <w:szCs w:val="22"/>
                    </w:rPr>
                    <w:t>10.000,00 EUR</w:t>
                  </w:r>
                </w:p>
              </w:tc>
            </w:tr>
            <w:tr w:rsidR="005B4D0C" w:rsidTr="005B4D0C">
              <w:trPr>
                <w:trHeight w:val="900"/>
              </w:trPr>
              <w:tc>
                <w:tcPr>
                  <w:tcW w:w="960" w:type="dxa"/>
                  <w:tcBorders>
                    <w:top w:val="nil"/>
                    <w:left w:val="nil"/>
                    <w:bottom w:val="nil"/>
                    <w:right w:val="nil"/>
                  </w:tcBorders>
                  <w:shd w:val="clear" w:color="auto" w:fill="auto"/>
                  <w:noWrap/>
                  <w:vAlign w:val="center"/>
                  <w:hideMark/>
                </w:tcPr>
                <w:p w:rsidR="005B4D0C" w:rsidRDefault="005B4D0C" w:rsidP="005B4D0C">
                  <w:pPr>
                    <w:framePr w:hSpace="180" w:wrap="around" w:vAnchor="page" w:hAnchor="page" w:x="1" w:y="4320"/>
                    <w:jc w:val="center"/>
                    <w:rPr>
                      <w:rFonts w:ascii="Calibri" w:hAnsi="Calibri" w:cs="Calibri"/>
                      <w:color w:val="000000"/>
                      <w:sz w:val="22"/>
                      <w:szCs w:val="22"/>
                    </w:rPr>
                  </w:pPr>
                  <w:r>
                    <w:rPr>
                      <w:rFonts w:ascii="Calibri" w:hAnsi="Calibri" w:cs="Calibri"/>
                      <w:color w:val="000000"/>
                      <w:sz w:val="22"/>
                      <w:szCs w:val="22"/>
                    </w:rPr>
                    <w:t>2024.</w:t>
                  </w:r>
                </w:p>
              </w:tc>
              <w:tc>
                <w:tcPr>
                  <w:tcW w:w="2620" w:type="dxa"/>
                  <w:tcBorders>
                    <w:top w:val="nil"/>
                    <w:left w:val="nil"/>
                    <w:bottom w:val="nil"/>
                    <w:right w:val="nil"/>
                  </w:tcBorders>
                  <w:shd w:val="clear" w:color="auto" w:fill="auto"/>
                  <w:noWrap/>
                  <w:vAlign w:val="center"/>
                  <w:hideMark/>
                </w:tcPr>
                <w:p w:rsidR="005B4D0C" w:rsidRDefault="005B4D0C" w:rsidP="005B4D0C">
                  <w:pPr>
                    <w:framePr w:hSpace="180" w:wrap="around" w:vAnchor="page" w:hAnchor="page" w:x="1" w:y="4320"/>
                    <w:jc w:val="center"/>
                    <w:rPr>
                      <w:rFonts w:ascii="Calibri" w:hAnsi="Calibri" w:cs="Calibri"/>
                      <w:color w:val="000000"/>
                      <w:sz w:val="22"/>
                      <w:szCs w:val="22"/>
                    </w:rPr>
                  </w:pPr>
                  <w:r>
                    <w:rPr>
                      <w:rFonts w:ascii="Calibri" w:hAnsi="Calibri" w:cs="Calibri"/>
                      <w:color w:val="000000"/>
                      <w:sz w:val="22"/>
                      <w:szCs w:val="22"/>
                    </w:rPr>
                    <w:t>Bjanko zadužnica</w:t>
                  </w:r>
                </w:p>
              </w:tc>
              <w:tc>
                <w:tcPr>
                  <w:tcW w:w="1900" w:type="dxa"/>
                  <w:tcBorders>
                    <w:top w:val="nil"/>
                    <w:left w:val="nil"/>
                    <w:bottom w:val="nil"/>
                    <w:right w:val="nil"/>
                  </w:tcBorders>
                  <w:shd w:val="clear" w:color="auto" w:fill="auto"/>
                  <w:noWrap/>
                  <w:vAlign w:val="center"/>
                  <w:hideMark/>
                </w:tcPr>
                <w:p w:rsidR="005B4D0C" w:rsidRDefault="005B4D0C" w:rsidP="005B4D0C">
                  <w:pPr>
                    <w:framePr w:hSpace="180" w:wrap="around" w:vAnchor="page" w:hAnchor="page" w:x="1" w:y="4320"/>
                    <w:jc w:val="center"/>
                    <w:rPr>
                      <w:rFonts w:ascii="Calibri" w:hAnsi="Calibri" w:cs="Calibri"/>
                      <w:color w:val="000000"/>
                      <w:sz w:val="22"/>
                      <w:szCs w:val="22"/>
                    </w:rPr>
                  </w:pPr>
                  <w:proofErr w:type="spellStart"/>
                  <w:r>
                    <w:rPr>
                      <w:rFonts w:ascii="Calibri" w:hAnsi="Calibri" w:cs="Calibri"/>
                      <w:color w:val="000000"/>
                      <w:sz w:val="22"/>
                      <w:szCs w:val="22"/>
                    </w:rPr>
                    <w:t>Gradax</w:t>
                  </w:r>
                  <w:proofErr w:type="spellEnd"/>
                  <w:r>
                    <w:rPr>
                      <w:rFonts w:ascii="Calibri" w:hAnsi="Calibri" w:cs="Calibri"/>
                      <w:color w:val="000000"/>
                      <w:sz w:val="22"/>
                      <w:szCs w:val="22"/>
                    </w:rPr>
                    <w:t xml:space="preserve"> d.o.o.</w:t>
                  </w:r>
                </w:p>
              </w:tc>
              <w:tc>
                <w:tcPr>
                  <w:tcW w:w="2680" w:type="dxa"/>
                  <w:tcBorders>
                    <w:top w:val="nil"/>
                    <w:left w:val="nil"/>
                    <w:bottom w:val="nil"/>
                    <w:right w:val="nil"/>
                  </w:tcBorders>
                  <w:shd w:val="clear" w:color="auto" w:fill="auto"/>
                  <w:noWrap/>
                  <w:vAlign w:val="center"/>
                  <w:hideMark/>
                </w:tcPr>
                <w:p w:rsidR="005B4D0C" w:rsidRDefault="005B4D0C" w:rsidP="005B4D0C">
                  <w:pPr>
                    <w:framePr w:hSpace="180" w:wrap="around" w:vAnchor="page" w:hAnchor="page" w:x="1" w:y="4320"/>
                    <w:jc w:val="center"/>
                    <w:rPr>
                      <w:rFonts w:ascii="Calibri" w:hAnsi="Calibri" w:cs="Calibri"/>
                      <w:color w:val="000000"/>
                      <w:sz w:val="22"/>
                      <w:szCs w:val="22"/>
                    </w:rPr>
                  </w:pPr>
                  <w:r>
                    <w:rPr>
                      <w:rFonts w:ascii="Calibri" w:hAnsi="Calibri" w:cs="Calibri"/>
                      <w:color w:val="000000"/>
                      <w:sz w:val="22"/>
                      <w:szCs w:val="22"/>
                    </w:rPr>
                    <w:t xml:space="preserve">Općina </w:t>
                  </w:r>
                  <w:proofErr w:type="spellStart"/>
                  <w:r>
                    <w:rPr>
                      <w:rFonts w:ascii="Calibri" w:hAnsi="Calibri" w:cs="Calibri"/>
                      <w:color w:val="000000"/>
                      <w:sz w:val="22"/>
                      <w:szCs w:val="22"/>
                    </w:rPr>
                    <w:t>Vratišinec</w:t>
                  </w:r>
                  <w:proofErr w:type="spellEnd"/>
                </w:p>
              </w:tc>
              <w:tc>
                <w:tcPr>
                  <w:tcW w:w="1900" w:type="dxa"/>
                  <w:tcBorders>
                    <w:top w:val="nil"/>
                    <w:left w:val="nil"/>
                    <w:bottom w:val="nil"/>
                    <w:right w:val="nil"/>
                  </w:tcBorders>
                  <w:shd w:val="clear" w:color="auto" w:fill="auto"/>
                  <w:noWrap/>
                  <w:vAlign w:val="center"/>
                  <w:hideMark/>
                </w:tcPr>
                <w:p w:rsidR="005B4D0C" w:rsidRDefault="005B4D0C" w:rsidP="005B4D0C">
                  <w:pPr>
                    <w:framePr w:hSpace="180" w:wrap="around" w:vAnchor="page" w:hAnchor="page" w:x="1" w:y="4320"/>
                    <w:jc w:val="center"/>
                    <w:rPr>
                      <w:rFonts w:ascii="Calibri" w:hAnsi="Calibri" w:cs="Calibri"/>
                      <w:color w:val="000000"/>
                      <w:sz w:val="22"/>
                      <w:szCs w:val="22"/>
                    </w:rPr>
                  </w:pPr>
                  <w:r>
                    <w:rPr>
                      <w:rFonts w:ascii="Calibri" w:hAnsi="Calibri" w:cs="Calibri"/>
                      <w:color w:val="000000"/>
                      <w:sz w:val="22"/>
                      <w:szCs w:val="22"/>
                    </w:rPr>
                    <w:t>10.000,00 EUR</w:t>
                  </w:r>
                </w:p>
              </w:tc>
            </w:tr>
            <w:tr w:rsidR="005B4D0C" w:rsidTr="005B4D0C">
              <w:trPr>
                <w:trHeight w:val="300"/>
              </w:trPr>
              <w:tc>
                <w:tcPr>
                  <w:tcW w:w="960" w:type="dxa"/>
                  <w:vMerge w:val="restart"/>
                  <w:tcBorders>
                    <w:top w:val="nil"/>
                    <w:left w:val="nil"/>
                    <w:bottom w:val="nil"/>
                    <w:right w:val="nil"/>
                  </w:tcBorders>
                  <w:shd w:val="clear" w:color="auto" w:fill="auto"/>
                  <w:noWrap/>
                  <w:vAlign w:val="center"/>
                  <w:hideMark/>
                </w:tcPr>
                <w:p w:rsidR="005B4D0C" w:rsidRDefault="005B4D0C" w:rsidP="005B4D0C">
                  <w:pPr>
                    <w:framePr w:hSpace="180" w:wrap="around" w:vAnchor="page" w:hAnchor="page" w:x="1" w:y="4320"/>
                    <w:jc w:val="center"/>
                    <w:rPr>
                      <w:rFonts w:ascii="Calibri" w:hAnsi="Calibri" w:cs="Calibri"/>
                      <w:color w:val="000000"/>
                      <w:sz w:val="22"/>
                      <w:szCs w:val="22"/>
                    </w:rPr>
                  </w:pPr>
                  <w:r>
                    <w:rPr>
                      <w:rFonts w:ascii="Calibri" w:hAnsi="Calibri" w:cs="Calibri"/>
                      <w:color w:val="000000"/>
                      <w:sz w:val="22"/>
                      <w:szCs w:val="22"/>
                    </w:rPr>
                    <w:t>2024.</w:t>
                  </w:r>
                </w:p>
              </w:tc>
              <w:tc>
                <w:tcPr>
                  <w:tcW w:w="2620" w:type="dxa"/>
                  <w:vMerge w:val="restart"/>
                  <w:tcBorders>
                    <w:top w:val="nil"/>
                    <w:left w:val="nil"/>
                    <w:bottom w:val="nil"/>
                    <w:right w:val="nil"/>
                  </w:tcBorders>
                  <w:shd w:val="clear" w:color="auto" w:fill="auto"/>
                  <w:noWrap/>
                  <w:vAlign w:val="center"/>
                  <w:hideMark/>
                </w:tcPr>
                <w:p w:rsidR="005B4D0C" w:rsidRDefault="005B4D0C" w:rsidP="005B4D0C">
                  <w:pPr>
                    <w:framePr w:hSpace="180" w:wrap="around" w:vAnchor="page" w:hAnchor="page" w:x="1" w:y="4320"/>
                    <w:jc w:val="center"/>
                    <w:rPr>
                      <w:rFonts w:ascii="Calibri" w:hAnsi="Calibri" w:cs="Calibri"/>
                      <w:color w:val="000000"/>
                      <w:sz w:val="22"/>
                      <w:szCs w:val="22"/>
                    </w:rPr>
                  </w:pPr>
                  <w:r>
                    <w:rPr>
                      <w:rFonts w:ascii="Calibri" w:hAnsi="Calibri" w:cs="Calibri"/>
                      <w:color w:val="000000"/>
                      <w:sz w:val="22"/>
                      <w:szCs w:val="22"/>
                    </w:rPr>
                    <w:t>Bjanko zadužnica</w:t>
                  </w:r>
                </w:p>
              </w:tc>
              <w:tc>
                <w:tcPr>
                  <w:tcW w:w="1900" w:type="dxa"/>
                  <w:vMerge w:val="restart"/>
                  <w:tcBorders>
                    <w:top w:val="nil"/>
                    <w:left w:val="nil"/>
                    <w:bottom w:val="nil"/>
                    <w:right w:val="nil"/>
                  </w:tcBorders>
                  <w:shd w:val="clear" w:color="auto" w:fill="auto"/>
                  <w:noWrap/>
                  <w:vAlign w:val="center"/>
                  <w:hideMark/>
                </w:tcPr>
                <w:p w:rsidR="005B4D0C" w:rsidRDefault="005B4D0C" w:rsidP="005B4D0C">
                  <w:pPr>
                    <w:framePr w:hSpace="180" w:wrap="around" w:vAnchor="page" w:hAnchor="page" w:x="1" w:y="4320"/>
                    <w:jc w:val="center"/>
                    <w:rPr>
                      <w:rFonts w:ascii="Calibri" w:hAnsi="Calibri" w:cs="Calibri"/>
                      <w:color w:val="000000"/>
                      <w:sz w:val="22"/>
                      <w:szCs w:val="22"/>
                    </w:rPr>
                  </w:pPr>
                  <w:r>
                    <w:rPr>
                      <w:rFonts w:ascii="Calibri" w:hAnsi="Calibri" w:cs="Calibri"/>
                      <w:color w:val="000000"/>
                      <w:sz w:val="22"/>
                      <w:szCs w:val="22"/>
                    </w:rPr>
                    <w:t>Tegra d.o.o.</w:t>
                  </w:r>
                </w:p>
              </w:tc>
              <w:tc>
                <w:tcPr>
                  <w:tcW w:w="2680" w:type="dxa"/>
                  <w:vMerge w:val="restart"/>
                  <w:tcBorders>
                    <w:top w:val="nil"/>
                    <w:left w:val="nil"/>
                    <w:bottom w:val="nil"/>
                    <w:right w:val="nil"/>
                  </w:tcBorders>
                  <w:shd w:val="clear" w:color="auto" w:fill="auto"/>
                  <w:noWrap/>
                  <w:vAlign w:val="center"/>
                  <w:hideMark/>
                </w:tcPr>
                <w:p w:rsidR="005B4D0C" w:rsidRDefault="005B4D0C" w:rsidP="005B4D0C">
                  <w:pPr>
                    <w:framePr w:hSpace="180" w:wrap="around" w:vAnchor="page" w:hAnchor="page" w:x="1" w:y="4320"/>
                    <w:jc w:val="center"/>
                    <w:rPr>
                      <w:rFonts w:ascii="Calibri" w:hAnsi="Calibri" w:cs="Calibri"/>
                      <w:color w:val="000000"/>
                      <w:sz w:val="22"/>
                      <w:szCs w:val="22"/>
                    </w:rPr>
                  </w:pPr>
                  <w:r>
                    <w:rPr>
                      <w:rFonts w:ascii="Calibri" w:hAnsi="Calibri" w:cs="Calibri"/>
                      <w:color w:val="000000"/>
                      <w:sz w:val="22"/>
                      <w:szCs w:val="22"/>
                    </w:rPr>
                    <w:t xml:space="preserve">Općina </w:t>
                  </w:r>
                  <w:proofErr w:type="spellStart"/>
                  <w:r>
                    <w:rPr>
                      <w:rFonts w:ascii="Calibri" w:hAnsi="Calibri" w:cs="Calibri"/>
                      <w:color w:val="000000"/>
                      <w:sz w:val="22"/>
                      <w:szCs w:val="22"/>
                    </w:rPr>
                    <w:t>Vratišinec</w:t>
                  </w:r>
                  <w:proofErr w:type="spellEnd"/>
                </w:p>
              </w:tc>
              <w:tc>
                <w:tcPr>
                  <w:tcW w:w="1900" w:type="dxa"/>
                  <w:tcBorders>
                    <w:top w:val="nil"/>
                    <w:left w:val="nil"/>
                    <w:bottom w:val="nil"/>
                    <w:right w:val="nil"/>
                  </w:tcBorders>
                  <w:shd w:val="clear" w:color="auto" w:fill="auto"/>
                  <w:noWrap/>
                  <w:vAlign w:val="center"/>
                  <w:hideMark/>
                </w:tcPr>
                <w:p w:rsidR="005B4D0C" w:rsidRDefault="005B4D0C" w:rsidP="005B4D0C">
                  <w:pPr>
                    <w:framePr w:hSpace="180" w:wrap="around" w:vAnchor="page" w:hAnchor="page" w:x="1" w:y="4320"/>
                    <w:jc w:val="center"/>
                    <w:rPr>
                      <w:rFonts w:ascii="Calibri" w:hAnsi="Calibri" w:cs="Calibri"/>
                      <w:color w:val="000000"/>
                      <w:sz w:val="22"/>
                      <w:szCs w:val="22"/>
                    </w:rPr>
                  </w:pPr>
                  <w:r>
                    <w:rPr>
                      <w:rFonts w:ascii="Calibri" w:hAnsi="Calibri" w:cs="Calibri"/>
                      <w:color w:val="000000"/>
                      <w:sz w:val="22"/>
                      <w:szCs w:val="22"/>
                    </w:rPr>
                    <w:t>1.000,00 EUR</w:t>
                  </w:r>
                </w:p>
              </w:tc>
            </w:tr>
            <w:tr w:rsidR="005B4D0C" w:rsidTr="005B4D0C">
              <w:trPr>
                <w:trHeight w:val="300"/>
              </w:trPr>
              <w:tc>
                <w:tcPr>
                  <w:tcW w:w="960" w:type="dxa"/>
                  <w:vMerge/>
                  <w:tcBorders>
                    <w:top w:val="nil"/>
                    <w:left w:val="nil"/>
                    <w:bottom w:val="nil"/>
                    <w:right w:val="nil"/>
                  </w:tcBorders>
                  <w:vAlign w:val="center"/>
                  <w:hideMark/>
                </w:tcPr>
                <w:p w:rsidR="005B4D0C" w:rsidRDefault="005B4D0C" w:rsidP="005B4D0C">
                  <w:pPr>
                    <w:framePr w:hSpace="180" w:wrap="around" w:vAnchor="page" w:hAnchor="page" w:x="1" w:y="4320"/>
                    <w:rPr>
                      <w:rFonts w:ascii="Calibri" w:hAnsi="Calibri" w:cs="Calibri"/>
                      <w:color w:val="000000"/>
                      <w:sz w:val="22"/>
                      <w:szCs w:val="22"/>
                    </w:rPr>
                  </w:pPr>
                </w:p>
              </w:tc>
              <w:tc>
                <w:tcPr>
                  <w:tcW w:w="2620" w:type="dxa"/>
                  <w:vMerge/>
                  <w:tcBorders>
                    <w:top w:val="nil"/>
                    <w:left w:val="nil"/>
                    <w:bottom w:val="nil"/>
                    <w:right w:val="nil"/>
                  </w:tcBorders>
                  <w:vAlign w:val="center"/>
                  <w:hideMark/>
                </w:tcPr>
                <w:p w:rsidR="005B4D0C" w:rsidRDefault="005B4D0C" w:rsidP="005B4D0C">
                  <w:pPr>
                    <w:framePr w:hSpace="180" w:wrap="around" w:vAnchor="page" w:hAnchor="page" w:x="1" w:y="4320"/>
                    <w:rPr>
                      <w:rFonts w:ascii="Calibri" w:hAnsi="Calibri" w:cs="Calibri"/>
                      <w:color w:val="000000"/>
                      <w:sz w:val="22"/>
                      <w:szCs w:val="22"/>
                    </w:rPr>
                  </w:pPr>
                </w:p>
              </w:tc>
              <w:tc>
                <w:tcPr>
                  <w:tcW w:w="1900" w:type="dxa"/>
                  <w:vMerge/>
                  <w:tcBorders>
                    <w:top w:val="nil"/>
                    <w:left w:val="nil"/>
                    <w:bottom w:val="nil"/>
                    <w:right w:val="nil"/>
                  </w:tcBorders>
                  <w:vAlign w:val="center"/>
                  <w:hideMark/>
                </w:tcPr>
                <w:p w:rsidR="005B4D0C" w:rsidRDefault="005B4D0C" w:rsidP="005B4D0C">
                  <w:pPr>
                    <w:framePr w:hSpace="180" w:wrap="around" w:vAnchor="page" w:hAnchor="page" w:x="1" w:y="4320"/>
                    <w:rPr>
                      <w:rFonts w:ascii="Calibri" w:hAnsi="Calibri" w:cs="Calibri"/>
                      <w:color w:val="000000"/>
                      <w:sz w:val="22"/>
                      <w:szCs w:val="22"/>
                    </w:rPr>
                  </w:pPr>
                </w:p>
              </w:tc>
              <w:tc>
                <w:tcPr>
                  <w:tcW w:w="2680" w:type="dxa"/>
                  <w:vMerge/>
                  <w:tcBorders>
                    <w:top w:val="nil"/>
                    <w:left w:val="nil"/>
                    <w:bottom w:val="nil"/>
                    <w:right w:val="nil"/>
                  </w:tcBorders>
                  <w:vAlign w:val="center"/>
                  <w:hideMark/>
                </w:tcPr>
                <w:p w:rsidR="005B4D0C" w:rsidRDefault="005B4D0C" w:rsidP="005B4D0C">
                  <w:pPr>
                    <w:framePr w:hSpace="180" w:wrap="around" w:vAnchor="page" w:hAnchor="page" w:x="1" w:y="4320"/>
                    <w:rPr>
                      <w:rFonts w:ascii="Calibri" w:hAnsi="Calibri" w:cs="Calibri"/>
                      <w:color w:val="000000"/>
                      <w:sz w:val="22"/>
                      <w:szCs w:val="22"/>
                    </w:rPr>
                  </w:pPr>
                </w:p>
              </w:tc>
              <w:tc>
                <w:tcPr>
                  <w:tcW w:w="1900" w:type="dxa"/>
                  <w:tcBorders>
                    <w:top w:val="nil"/>
                    <w:left w:val="nil"/>
                    <w:bottom w:val="nil"/>
                    <w:right w:val="nil"/>
                  </w:tcBorders>
                  <w:shd w:val="clear" w:color="auto" w:fill="auto"/>
                  <w:noWrap/>
                  <w:vAlign w:val="center"/>
                  <w:hideMark/>
                </w:tcPr>
                <w:p w:rsidR="005B4D0C" w:rsidRDefault="005B4D0C" w:rsidP="005B4D0C">
                  <w:pPr>
                    <w:framePr w:hSpace="180" w:wrap="around" w:vAnchor="page" w:hAnchor="page" w:x="1" w:y="4320"/>
                    <w:jc w:val="center"/>
                    <w:rPr>
                      <w:rFonts w:ascii="Calibri" w:hAnsi="Calibri" w:cs="Calibri"/>
                      <w:color w:val="000000"/>
                      <w:sz w:val="22"/>
                      <w:szCs w:val="22"/>
                    </w:rPr>
                  </w:pPr>
                  <w:r>
                    <w:rPr>
                      <w:rFonts w:ascii="Calibri" w:hAnsi="Calibri" w:cs="Calibri"/>
                      <w:color w:val="000000"/>
                      <w:sz w:val="22"/>
                      <w:szCs w:val="22"/>
                    </w:rPr>
                    <w:t>2.000,00 EUR</w:t>
                  </w:r>
                </w:p>
              </w:tc>
            </w:tr>
            <w:tr w:rsidR="005B4D0C" w:rsidTr="005B4D0C">
              <w:trPr>
                <w:trHeight w:val="690"/>
              </w:trPr>
              <w:tc>
                <w:tcPr>
                  <w:tcW w:w="960" w:type="dxa"/>
                  <w:tcBorders>
                    <w:top w:val="nil"/>
                    <w:left w:val="nil"/>
                    <w:bottom w:val="nil"/>
                    <w:right w:val="nil"/>
                  </w:tcBorders>
                  <w:shd w:val="clear" w:color="auto" w:fill="auto"/>
                  <w:noWrap/>
                  <w:vAlign w:val="center"/>
                  <w:hideMark/>
                </w:tcPr>
                <w:p w:rsidR="005B4D0C" w:rsidRDefault="005B4D0C" w:rsidP="005B4D0C">
                  <w:pPr>
                    <w:framePr w:hSpace="180" w:wrap="around" w:vAnchor="page" w:hAnchor="page" w:x="1" w:y="4320"/>
                    <w:jc w:val="center"/>
                    <w:rPr>
                      <w:rFonts w:ascii="Calibri" w:hAnsi="Calibri" w:cs="Calibri"/>
                      <w:color w:val="000000"/>
                      <w:sz w:val="22"/>
                      <w:szCs w:val="22"/>
                    </w:rPr>
                  </w:pPr>
                  <w:r>
                    <w:rPr>
                      <w:rFonts w:ascii="Calibri" w:hAnsi="Calibri" w:cs="Calibri"/>
                      <w:color w:val="000000"/>
                      <w:sz w:val="22"/>
                      <w:szCs w:val="22"/>
                    </w:rPr>
                    <w:t>2024.</w:t>
                  </w:r>
                </w:p>
              </w:tc>
              <w:tc>
                <w:tcPr>
                  <w:tcW w:w="2620" w:type="dxa"/>
                  <w:tcBorders>
                    <w:top w:val="nil"/>
                    <w:left w:val="nil"/>
                    <w:bottom w:val="nil"/>
                    <w:right w:val="nil"/>
                  </w:tcBorders>
                  <w:shd w:val="clear" w:color="auto" w:fill="auto"/>
                  <w:vAlign w:val="center"/>
                  <w:hideMark/>
                </w:tcPr>
                <w:p w:rsidR="005B4D0C" w:rsidRDefault="005B4D0C" w:rsidP="005B4D0C">
                  <w:pPr>
                    <w:framePr w:hSpace="180" w:wrap="around" w:vAnchor="page" w:hAnchor="page" w:x="1" w:y="4320"/>
                    <w:jc w:val="center"/>
                    <w:rPr>
                      <w:rFonts w:ascii="Calibri" w:hAnsi="Calibri" w:cs="Calibri"/>
                      <w:color w:val="000000"/>
                      <w:sz w:val="22"/>
                      <w:szCs w:val="22"/>
                    </w:rPr>
                  </w:pPr>
                  <w:r>
                    <w:rPr>
                      <w:rFonts w:ascii="Calibri" w:hAnsi="Calibri" w:cs="Calibri"/>
                      <w:color w:val="000000"/>
                      <w:sz w:val="22"/>
                      <w:szCs w:val="22"/>
                    </w:rPr>
                    <w:t>Garancija banke Privredna banka Zagreb</w:t>
                  </w:r>
                </w:p>
              </w:tc>
              <w:tc>
                <w:tcPr>
                  <w:tcW w:w="1900" w:type="dxa"/>
                  <w:tcBorders>
                    <w:top w:val="nil"/>
                    <w:left w:val="nil"/>
                    <w:bottom w:val="nil"/>
                    <w:right w:val="nil"/>
                  </w:tcBorders>
                  <w:shd w:val="clear" w:color="auto" w:fill="auto"/>
                  <w:noWrap/>
                  <w:vAlign w:val="center"/>
                  <w:hideMark/>
                </w:tcPr>
                <w:p w:rsidR="005B4D0C" w:rsidRDefault="005B4D0C" w:rsidP="005B4D0C">
                  <w:pPr>
                    <w:framePr w:hSpace="180" w:wrap="around" w:vAnchor="page" w:hAnchor="page" w:x="1" w:y="4320"/>
                    <w:jc w:val="center"/>
                    <w:rPr>
                      <w:rFonts w:ascii="Calibri" w:hAnsi="Calibri" w:cs="Calibri"/>
                      <w:color w:val="000000"/>
                      <w:sz w:val="22"/>
                      <w:szCs w:val="22"/>
                    </w:rPr>
                  </w:pPr>
                  <w:r>
                    <w:rPr>
                      <w:rFonts w:ascii="Calibri" w:hAnsi="Calibri" w:cs="Calibri"/>
                      <w:color w:val="000000"/>
                      <w:sz w:val="22"/>
                      <w:szCs w:val="22"/>
                    </w:rPr>
                    <w:t>BRID d.o.o.</w:t>
                  </w:r>
                </w:p>
              </w:tc>
              <w:tc>
                <w:tcPr>
                  <w:tcW w:w="2680" w:type="dxa"/>
                  <w:tcBorders>
                    <w:top w:val="nil"/>
                    <w:left w:val="nil"/>
                    <w:bottom w:val="nil"/>
                    <w:right w:val="nil"/>
                  </w:tcBorders>
                  <w:shd w:val="clear" w:color="auto" w:fill="auto"/>
                  <w:noWrap/>
                  <w:vAlign w:val="center"/>
                  <w:hideMark/>
                </w:tcPr>
                <w:p w:rsidR="005B4D0C" w:rsidRDefault="005B4D0C" w:rsidP="005B4D0C">
                  <w:pPr>
                    <w:framePr w:hSpace="180" w:wrap="around" w:vAnchor="page" w:hAnchor="page" w:x="1" w:y="4320"/>
                    <w:jc w:val="center"/>
                    <w:rPr>
                      <w:rFonts w:ascii="Calibri" w:hAnsi="Calibri" w:cs="Calibri"/>
                      <w:color w:val="000000"/>
                      <w:sz w:val="22"/>
                      <w:szCs w:val="22"/>
                    </w:rPr>
                  </w:pPr>
                  <w:r>
                    <w:rPr>
                      <w:rFonts w:ascii="Calibri" w:hAnsi="Calibri" w:cs="Calibri"/>
                      <w:color w:val="000000"/>
                      <w:sz w:val="22"/>
                      <w:szCs w:val="22"/>
                    </w:rPr>
                    <w:t xml:space="preserve">Općina </w:t>
                  </w:r>
                  <w:proofErr w:type="spellStart"/>
                  <w:r>
                    <w:rPr>
                      <w:rFonts w:ascii="Calibri" w:hAnsi="Calibri" w:cs="Calibri"/>
                      <w:color w:val="000000"/>
                      <w:sz w:val="22"/>
                      <w:szCs w:val="22"/>
                    </w:rPr>
                    <w:t>Vratišinec</w:t>
                  </w:r>
                  <w:proofErr w:type="spellEnd"/>
                </w:p>
              </w:tc>
              <w:tc>
                <w:tcPr>
                  <w:tcW w:w="1900" w:type="dxa"/>
                  <w:tcBorders>
                    <w:top w:val="nil"/>
                    <w:left w:val="nil"/>
                    <w:bottom w:val="nil"/>
                    <w:right w:val="nil"/>
                  </w:tcBorders>
                  <w:shd w:val="clear" w:color="auto" w:fill="auto"/>
                  <w:noWrap/>
                  <w:vAlign w:val="center"/>
                  <w:hideMark/>
                </w:tcPr>
                <w:p w:rsidR="005B4D0C" w:rsidRDefault="005B4D0C" w:rsidP="005B4D0C">
                  <w:pPr>
                    <w:framePr w:hSpace="180" w:wrap="around" w:vAnchor="page" w:hAnchor="page" w:x="1" w:y="4320"/>
                    <w:jc w:val="center"/>
                    <w:rPr>
                      <w:rFonts w:ascii="Calibri" w:hAnsi="Calibri" w:cs="Calibri"/>
                      <w:color w:val="000000"/>
                      <w:sz w:val="22"/>
                      <w:szCs w:val="22"/>
                    </w:rPr>
                  </w:pPr>
                  <w:r>
                    <w:rPr>
                      <w:rFonts w:ascii="Calibri" w:hAnsi="Calibri" w:cs="Calibri"/>
                      <w:color w:val="000000"/>
                      <w:sz w:val="22"/>
                      <w:szCs w:val="22"/>
                    </w:rPr>
                    <w:t>9.640,15 EUR</w:t>
                  </w:r>
                </w:p>
              </w:tc>
            </w:tr>
          </w:tbl>
          <w:p w:rsidR="005B4D0C" w:rsidRDefault="005B4D0C" w:rsidP="005B4D0C">
            <w:pPr>
              <w:rPr>
                <w:rFonts w:ascii="Calibri" w:hAnsi="Calibri" w:cs="Calibri"/>
                <w:color w:val="000000"/>
                <w:sz w:val="22"/>
                <w:szCs w:val="22"/>
              </w:rPr>
            </w:pPr>
          </w:p>
        </w:tc>
        <w:tc>
          <w:tcPr>
            <w:tcW w:w="1900" w:type="dxa"/>
            <w:vMerge w:val="restart"/>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r>
              <w:rPr>
                <w:rFonts w:ascii="Calibri" w:hAnsi="Calibri" w:cs="Calibri"/>
                <w:color w:val="000000"/>
                <w:sz w:val="22"/>
                <w:szCs w:val="22"/>
              </w:rPr>
              <w:t xml:space="preserve"> </w:t>
            </w:r>
          </w:p>
        </w:tc>
        <w:tc>
          <w:tcPr>
            <w:tcW w:w="2680" w:type="dxa"/>
            <w:vMerge w:val="restart"/>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190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1139" w:type="dxa"/>
            <w:vMerge w:val="restart"/>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236" w:type="dxa"/>
            <w:vMerge w:val="restart"/>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3880" w:type="dxa"/>
            <w:vMerge w:val="restart"/>
            <w:tcBorders>
              <w:top w:val="nil"/>
              <w:left w:val="nil"/>
              <w:bottom w:val="nil"/>
              <w:right w:val="nil"/>
            </w:tcBorders>
            <w:shd w:val="clear" w:color="auto" w:fill="auto"/>
            <w:vAlign w:val="center"/>
          </w:tcPr>
          <w:p w:rsidR="005B4D0C" w:rsidRDefault="005B4D0C" w:rsidP="005B4D0C">
            <w:pPr>
              <w:jc w:val="center"/>
              <w:rPr>
                <w:rFonts w:ascii="Calibri" w:hAnsi="Calibri" w:cs="Calibri"/>
                <w:color w:val="000000"/>
                <w:sz w:val="22"/>
                <w:szCs w:val="22"/>
              </w:rPr>
            </w:pPr>
          </w:p>
        </w:tc>
        <w:tc>
          <w:tcPr>
            <w:tcW w:w="2680" w:type="dxa"/>
            <w:vMerge w:val="restart"/>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1900" w:type="dxa"/>
            <w:vMerge w:val="restart"/>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2860" w:type="dxa"/>
            <w:tcBorders>
              <w:top w:val="nil"/>
              <w:left w:val="nil"/>
              <w:bottom w:val="nil"/>
              <w:right w:val="nil"/>
            </w:tcBorders>
            <w:shd w:val="clear" w:color="auto" w:fill="auto"/>
            <w:noWrap/>
            <w:vAlign w:val="center"/>
          </w:tcPr>
          <w:p w:rsidR="005B4D0C" w:rsidRDefault="005B4D0C" w:rsidP="005B4D0C">
            <w:pPr>
              <w:rPr>
                <w:rFonts w:ascii="Calibri" w:hAnsi="Calibri" w:cs="Calibri"/>
                <w:color w:val="000000"/>
                <w:sz w:val="22"/>
                <w:szCs w:val="22"/>
              </w:rPr>
            </w:pPr>
          </w:p>
        </w:tc>
        <w:tc>
          <w:tcPr>
            <w:tcW w:w="1520" w:type="dxa"/>
            <w:vMerge w:val="restart"/>
            <w:tcBorders>
              <w:top w:val="nil"/>
              <w:left w:val="nil"/>
              <w:bottom w:val="nil"/>
              <w:right w:val="nil"/>
            </w:tcBorders>
            <w:shd w:val="clear" w:color="auto" w:fill="auto"/>
            <w:noWrap/>
            <w:vAlign w:val="bottom"/>
          </w:tcPr>
          <w:p w:rsidR="005B4D0C" w:rsidRDefault="005B4D0C" w:rsidP="005B4D0C">
            <w:pPr>
              <w:jc w:val="center"/>
              <w:rPr>
                <w:rFonts w:ascii="Calibri" w:hAnsi="Calibri" w:cs="Calibri"/>
                <w:color w:val="000000"/>
                <w:sz w:val="22"/>
                <w:szCs w:val="22"/>
              </w:rPr>
            </w:pPr>
          </w:p>
        </w:tc>
      </w:tr>
      <w:tr w:rsidR="005B4D0C" w:rsidTr="005B4D0C">
        <w:trPr>
          <w:trHeight w:val="300"/>
        </w:trPr>
        <w:tc>
          <w:tcPr>
            <w:tcW w:w="960" w:type="dxa"/>
            <w:vMerge/>
            <w:tcBorders>
              <w:top w:val="nil"/>
              <w:left w:val="nil"/>
              <w:bottom w:val="nil"/>
              <w:right w:val="nil"/>
            </w:tcBorders>
            <w:vAlign w:val="center"/>
          </w:tcPr>
          <w:p w:rsidR="005B4D0C" w:rsidRDefault="005B4D0C" w:rsidP="005B4D0C">
            <w:pPr>
              <w:rPr>
                <w:rFonts w:ascii="Calibri" w:hAnsi="Calibri" w:cs="Calibri"/>
                <w:color w:val="000000"/>
                <w:sz w:val="22"/>
                <w:szCs w:val="22"/>
              </w:rPr>
            </w:pPr>
          </w:p>
        </w:tc>
        <w:tc>
          <w:tcPr>
            <w:tcW w:w="2620" w:type="dxa"/>
            <w:vMerge/>
            <w:tcBorders>
              <w:top w:val="nil"/>
              <w:left w:val="nil"/>
              <w:bottom w:val="nil"/>
              <w:right w:val="nil"/>
            </w:tcBorders>
            <w:vAlign w:val="center"/>
          </w:tcPr>
          <w:p w:rsidR="005B4D0C" w:rsidRDefault="005B4D0C" w:rsidP="005B4D0C">
            <w:pPr>
              <w:rPr>
                <w:rFonts w:ascii="Calibri" w:hAnsi="Calibri" w:cs="Calibri"/>
                <w:color w:val="000000"/>
                <w:sz w:val="22"/>
                <w:szCs w:val="22"/>
              </w:rPr>
            </w:pPr>
          </w:p>
        </w:tc>
        <w:tc>
          <w:tcPr>
            <w:tcW w:w="1900" w:type="dxa"/>
            <w:vMerge/>
            <w:tcBorders>
              <w:top w:val="nil"/>
              <w:left w:val="nil"/>
              <w:bottom w:val="nil"/>
              <w:right w:val="nil"/>
            </w:tcBorders>
            <w:vAlign w:val="center"/>
          </w:tcPr>
          <w:p w:rsidR="005B4D0C" w:rsidRDefault="005B4D0C" w:rsidP="005B4D0C">
            <w:pPr>
              <w:rPr>
                <w:rFonts w:ascii="Calibri" w:hAnsi="Calibri" w:cs="Calibri"/>
                <w:color w:val="000000"/>
                <w:sz w:val="22"/>
                <w:szCs w:val="22"/>
              </w:rPr>
            </w:pPr>
          </w:p>
        </w:tc>
        <w:tc>
          <w:tcPr>
            <w:tcW w:w="2680" w:type="dxa"/>
            <w:vMerge/>
            <w:tcBorders>
              <w:top w:val="nil"/>
              <w:left w:val="nil"/>
              <w:bottom w:val="nil"/>
              <w:right w:val="nil"/>
            </w:tcBorders>
            <w:vAlign w:val="center"/>
          </w:tcPr>
          <w:p w:rsidR="005B4D0C" w:rsidRDefault="005B4D0C" w:rsidP="005B4D0C">
            <w:pPr>
              <w:rPr>
                <w:rFonts w:ascii="Calibri" w:hAnsi="Calibri" w:cs="Calibri"/>
                <w:color w:val="000000"/>
                <w:sz w:val="22"/>
                <w:szCs w:val="22"/>
              </w:rPr>
            </w:pPr>
          </w:p>
        </w:tc>
        <w:tc>
          <w:tcPr>
            <w:tcW w:w="190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1139" w:type="dxa"/>
            <w:vMerge/>
            <w:tcBorders>
              <w:top w:val="nil"/>
              <w:left w:val="nil"/>
              <w:bottom w:val="nil"/>
              <w:right w:val="nil"/>
            </w:tcBorders>
            <w:vAlign w:val="center"/>
          </w:tcPr>
          <w:p w:rsidR="005B4D0C" w:rsidRDefault="005B4D0C" w:rsidP="005B4D0C">
            <w:pPr>
              <w:rPr>
                <w:rFonts w:ascii="Calibri" w:hAnsi="Calibri" w:cs="Calibri"/>
                <w:color w:val="000000"/>
                <w:sz w:val="22"/>
                <w:szCs w:val="22"/>
              </w:rPr>
            </w:pPr>
          </w:p>
        </w:tc>
        <w:tc>
          <w:tcPr>
            <w:tcW w:w="236" w:type="dxa"/>
            <w:vMerge/>
            <w:tcBorders>
              <w:top w:val="nil"/>
              <w:left w:val="nil"/>
              <w:bottom w:val="nil"/>
              <w:right w:val="nil"/>
            </w:tcBorders>
            <w:vAlign w:val="center"/>
          </w:tcPr>
          <w:p w:rsidR="005B4D0C" w:rsidRDefault="005B4D0C" w:rsidP="005B4D0C">
            <w:pPr>
              <w:rPr>
                <w:rFonts w:ascii="Calibri" w:hAnsi="Calibri" w:cs="Calibri"/>
                <w:color w:val="000000"/>
                <w:sz w:val="22"/>
                <w:szCs w:val="22"/>
              </w:rPr>
            </w:pPr>
          </w:p>
        </w:tc>
        <w:tc>
          <w:tcPr>
            <w:tcW w:w="3880" w:type="dxa"/>
            <w:vMerge/>
            <w:tcBorders>
              <w:top w:val="nil"/>
              <w:left w:val="nil"/>
              <w:bottom w:val="nil"/>
              <w:right w:val="nil"/>
            </w:tcBorders>
            <w:vAlign w:val="center"/>
          </w:tcPr>
          <w:p w:rsidR="005B4D0C" w:rsidRDefault="005B4D0C" w:rsidP="005B4D0C">
            <w:pPr>
              <w:rPr>
                <w:rFonts w:ascii="Calibri" w:hAnsi="Calibri" w:cs="Calibri"/>
                <w:color w:val="000000"/>
                <w:sz w:val="22"/>
                <w:szCs w:val="22"/>
              </w:rPr>
            </w:pPr>
          </w:p>
        </w:tc>
        <w:tc>
          <w:tcPr>
            <w:tcW w:w="2680" w:type="dxa"/>
            <w:vMerge/>
            <w:tcBorders>
              <w:top w:val="nil"/>
              <w:left w:val="nil"/>
              <w:bottom w:val="nil"/>
              <w:right w:val="nil"/>
            </w:tcBorders>
            <w:vAlign w:val="center"/>
          </w:tcPr>
          <w:p w:rsidR="005B4D0C" w:rsidRDefault="005B4D0C" w:rsidP="005B4D0C">
            <w:pPr>
              <w:rPr>
                <w:rFonts w:ascii="Calibri" w:hAnsi="Calibri" w:cs="Calibri"/>
                <w:color w:val="000000"/>
                <w:sz w:val="22"/>
                <w:szCs w:val="22"/>
              </w:rPr>
            </w:pPr>
          </w:p>
        </w:tc>
        <w:tc>
          <w:tcPr>
            <w:tcW w:w="1900" w:type="dxa"/>
            <w:vMerge/>
            <w:tcBorders>
              <w:top w:val="nil"/>
              <w:left w:val="nil"/>
              <w:bottom w:val="nil"/>
              <w:right w:val="nil"/>
            </w:tcBorders>
            <w:vAlign w:val="center"/>
          </w:tcPr>
          <w:p w:rsidR="005B4D0C" w:rsidRDefault="005B4D0C" w:rsidP="005B4D0C">
            <w:pPr>
              <w:rPr>
                <w:rFonts w:ascii="Calibri" w:hAnsi="Calibri" w:cs="Calibri"/>
                <w:color w:val="000000"/>
                <w:sz w:val="22"/>
                <w:szCs w:val="22"/>
              </w:rPr>
            </w:pPr>
          </w:p>
        </w:tc>
        <w:tc>
          <w:tcPr>
            <w:tcW w:w="2860" w:type="dxa"/>
            <w:tcBorders>
              <w:top w:val="nil"/>
              <w:left w:val="nil"/>
              <w:bottom w:val="nil"/>
              <w:right w:val="nil"/>
            </w:tcBorders>
            <w:shd w:val="clear" w:color="auto" w:fill="auto"/>
            <w:noWrap/>
            <w:vAlign w:val="center"/>
          </w:tcPr>
          <w:p w:rsidR="005B4D0C" w:rsidRDefault="005B4D0C" w:rsidP="005B4D0C">
            <w:pPr>
              <w:rPr>
                <w:rFonts w:ascii="Calibri" w:hAnsi="Calibri" w:cs="Calibri"/>
                <w:color w:val="000000"/>
                <w:sz w:val="22"/>
                <w:szCs w:val="22"/>
              </w:rPr>
            </w:pPr>
          </w:p>
        </w:tc>
        <w:tc>
          <w:tcPr>
            <w:tcW w:w="1520" w:type="dxa"/>
            <w:vMerge/>
            <w:tcBorders>
              <w:top w:val="nil"/>
              <w:left w:val="nil"/>
              <w:bottom w:val="nil"/>
              <w:right w:val="nil"/>
            </w:tcBorders>
            <w:vAlign w:val="center"/>
          </w:tcPr>
          <w:p w:rsidR="005B4D0C" w:rsidRDefault="005B4D0C" w:rsidP="005B4D0C">
            <w:pPr>
              <w:rPr>
                <w:rFonts w:ascii="Calibri" w:hAnsi="Calibri" w:cs="Calibri"/>
                <w:color w:val="000000"/>
                <w:sz w:val="22"/>
                <w:szCs w:val="22"/>
              </w:rPr>
            </w:pPr>
          </w:p>
        </w:tc>
      </w:tr>
      <w:tr w:rsidR="005B4D0C" w:rsidTr="005B4D0C">
        <w:trPr>
          <w:trHeight w:val="690"/>
        </w:trPr>
        <w:tc>
          <w:tcPr>
            <w:tcW w:w="96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2620" w:type="dxa"/>
            <w:tcBorders>
              <w:top w:val="nil"/>
              <w:left w:val="nil"/>
              <w:bottom w:val="nil"/>
              <w:right w:val="nil"/>
            </w:tcBorders>
            <w:shd w:val="clear" w:color="auto" w:fill="auto"/>
            <w:vAlign w:val="center"/>
          </w:tcPr>
          <w:p w:rsidR="005B4D0C" w:rsidRDefault="005B4D0C" w:rsidP="005B4D0C">
            <w:pPr>
              <w:jc w:val="center"/>
              <w:rPr>
                <w:rFonts w:ascii="Calibri" w:hAnsi="Calibri" w:cs="Calibri"/>
                <w:color w:val="000000"/>
                <w:sz w:val="22"/>
                <w:szCs w:val="22"/>
              </w:rPr>
            </w:pPr>
          </w:p>
        </w:tc>
        <w:tc>
          <w:tcPr>
            <w:tcW w:w="190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268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190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1139"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236"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388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268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190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286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c>
          <w:tcPr>
            <w:tcW w:w="1520" w:type="dxa"/>
            <w:tcBorders>
              <w:top w:val="nil"/>
              <w:left w:val="nil"/>
              <w:bottom w:val="nil"/>
              <w:right w:val="nil"/>
            </w:tcBorders>
            <w:shd w:val="clear" w:color="auto" w:fill="auto"/>
            <w:noWrap/>
            <w:vAlign w:val="center"/>
          </w:tcPr>
          <w:p w:rsidR="005B4D0C" w:rsidRDefault="005B4D0C" w:rsidP="005B4D0C">
            <w:pPr>
              <w:jc w:val="center"/>
              <w:rPr>
                <w:rFonts w:ascii="Calibri" w:hAnsi="Calibri" w:cs="Calibri"/>
                <w:color w:val="000000"/>
                <w:sz w:val="22"/>
                <w:szCs w:val="22"/>
              </w:rPr>
            </w:pPr>
          </w:p>
        </w:tc>
      </w:tr>
    </w:tbl>
    <w:p w:rsidR="001853DF" w:rsidRDefault="001853DF" w:rsidP="00FD5AA8">
      <w:pPr>
        <w:jc w:val="both"/>
        <w:outlineLvl w:val="0"/>
        <w:rPr>
          <w:sz w:val="22"/>
          <w:szCs w:val="22"/>
        </w:rPr>
      </w:pPr>
    </w:p>
    <w:p w:rsidR="001853DF" w:rsidRDefault="001853DF" w:rsidP="00FD5AA8">
      <w:pPr>
        <w:jc w:val="both"/>
        <w:outlineLvl w:val="0"/>
        <w:rPr>
          <w:sz w:val="22"/>
          <w:szCs w:val="22"/>
        </w:rPr>
      </w:pPr>
      <w:bookmarkStart w:id="0" w:name="_GoBack"/>
      <w:bookmarkEnd w:id="0"/>
    </w:p>
    <w:sectPr w:rsidR="001853D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E53" w:rsidRDefault="00480E53" w:rsidP="00AE43F8">
      <w:r>
        <w:separator/>
      </w:r>
    </w:p>
  </w:endnote>
  <w:endnote w:type="continuationSeparator" w:id="0">
    <w:p w:rsidR="00480E53" w:rsidRDefault="00480E53" w:rsidP="00AE4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7D7" w:rsidRDefault="007C77D7">
    <w:pPr>
      <w:pStyle w:val="Podnoje"/>
    </w:pPr>
    <w:r>
      <w:rPr>
        <w:noProof/>
      </w:rPr>
      <mc:AlternateContent>
        <mc:Choice Requires="wps">
          <w:drawing>
            <wp:anchor distT="0" distB="0" distL="114300" distR="114300" simplePos="0" relativeHeight="251657728" behindDoc="0" locked="0" layoutInCell="1" allowOverlap="1">
              <wp:simplePos x="0" y="0"/>
              <wp:positionH relativeFrom="page">
                <wp:posOffset>6827520</wp:posOffset>
              </wp:positionH>
              <wp:positionV relativeFrom="page">
                <wp:posOffset>10146030</wp:posOffset>
              </wp:positionV>
              <wp:extent cx="565785" cy="191770"/>
              <wp:effectExtent l="0" t="1905"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7C77D7" w:rsidRPr="00AE43F8" w:rsidRDefault="007C77D7" w:rsidP="00AE43F8">
                          <w:pPr>
                            <w:pBdr>
                              <w:top w:val="single" w:sz="4" w:space="1" w:color="7F7F7F"/>
                            </w:pBdr>
                            <w:jc w:val="center"/>
                            <w:rPr>
                              <w:color w:val="ED7D31"/>
                            </w:rPr>
                          </w:pPr>
                          <w:r w:rsidRPr="00AE43F8">
                            <w:fldChar w:fldCharType="begin"/>
                          </w:r>
                          <w:r>
                            <w:instrText>PAGE   \* MERGEFORMAT</w:instrText>
                          </w:r>
                          <w:r w:rsidRPr="00AE43F8">
                            <w:fldChar w:fldCharType="separate"/>
                          </w:r>
                          <w:r w:rsidR="005B4D0C" w:rsidRPr="005B4D0C">
                            <w:rPr>
                              <w:noProof/>
                              <w:color w:val="ED7D31"/>
                            </w:rPr>
                            <w:t>4</w:t>
                          </w:r>
                          <w:r w:rsidRPr="00AE43F8">
                            <w:rPr>
                              <w:color w:val="ED7D3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1" o:spid="_x0000_s1026" style="position:absolute;margin-left:537.6pt;margin-top:798.9pt;width:44.55pt;height:15.1pt;rotation:18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" filled="f" fillcolor="#c0504d" stroked="f" strokecolor="#5c83b4" strokeweight="2.25pt">
              <v:textbox inset=",0,,0">
                <w:txbxContent>
                  <w:p w:rsidR="007C77D7" w:rsidRPr="00AE43F8" w:rsidRDefault="007C77D7" w:rsidP="00AE43F8">
                    <w:pPr>
                      <w:pBdr>
                        <w:top w:val="single" w:sz="4" w:space="1" w:color="7F7F7F"/>
                      </w:pBdr>
                      <w:jc w:val="center"/>
                      <w:rPr>
                        <w:color w:val="ED7D31"/>
                      </w:rPr>
                    </w:pPr>
                    <w:r w:rsidRPr="00AE43F8">
                      <w:fldChar w:fldCharType="begin"/>
                    </w:r>
                    <w:r>
                      <w:instrText>PAGE   \* MERGEFORMAT</w:instrText>
                    </w:r>
                    <w:r w:rsidRPr="00AE43F8">
                      <w:fldChar w:fldCharType="separate"/>
                    </w:r>
                    <w:r w:rsidR="005B4D0C" w:rsidRPr="005B4D0C">
                      <w:rPr>
                        <w:noProof/>
                        <w:color w:val="ED7D31"/>
                      </w:rPr>
                      <w:t>4</w:t>
                    </w:r>
                    <w:r w:rsidRPr="00AE43F8">
                      <w:rPr>
                        <w:color w:val="ED7D31"/>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E53" w:rsidRDefault="00480E53" w:rsidP="00AE43F8">
      <w:r>
        <w:separator/>
      </w:r>
    </w:p>
  </w:footnote>
  <w:footnote w:type="continuationSeparator" w:id="0">
    <w:p w:rsidR="00480E53" w:rsidRDefault="00480E53" w:rsidP="00AE43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10B70"/>
    <w:multiLevelType w:val="hybridMultilevel"/>
    <w:tmpl w:val="EF66DDE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2F5095"/>
    <w:multiLevelType w:val="hybridMultilevel"/>
    <w:tmpl w:val="712075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DF0E21"/>
    <w:multiLevelType w:val="hybridMultilevel"/>
    <w:tmpl w:val="599AEB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86F51"/>
    <w:multiLevelType w:val="hybridMultilevel"/>
    <w:tmpl w:val="A1826736"/>
    <w:lvl w:ilvl="0" w:tplc="C6D6B380">
      <w:start w:val="1"/>
      <w:numFmt w:val="bullet"/>
      <w:lvlText w:val="-"/>
      <w:lvlJc w:val="left"/>
      <w:pPr>
        <w:ind w:left="1080" w:hanging="360"/>
      </w:pPr>
      <w:rPr>
        <w:rFonts w:ascii="Times New Roman" w:eastAsia="Times New Roman" w:hAnsi="Times New Roman" w:cs="Times New Roman"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1B26274F"/>
    <w:multiLevelType w:val="hybridMultilevel"/>
    <w:tmpl w:val="88F49C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6621D"/>
    <w:multiLevelType w:val="hybridMultilevel"/>
    <w:tmpl w:val="A86013EC"/>
    <w:lvl w:ilvl="0" w:tplc="4B0EA8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914F1"/>
    <w:multiLevelType w:val="hybridMultilevel"/>
    <w:tmpl w:val="F62CB1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23630C4"/>
    <w:multiLevelType w:val="hybridMultilevel"/>
    <w:tmpl w:val="2642F434"/>
    <w:lvl w:ilvl="0" w:tplc="7E54E9E8">
      <w:start w:val="18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4A2DFC"/>
    <w:multiLevelType w:val="hybridMultilevel"/>
    <w:tmpl w:val="03CAA4B0"/>
    <w:lvl w:ilvl="0" w:tplc="D346D60C">
      <w:start w:val="1"/>
      <w:numFmt w:val="lowerLetter"/>
      <w:lvlText w:val="%1)"/>
      <w:lvlJc w:val="left"/>
      <w:pPr>
        <w:ind w:left="1770" w:hanging="360"/>
      </w:pPr>
      <w:rPr>
        <w:rFonts w:hint="default"/>
      </w:rPr>
    </w:lvl>
    <w:lvl w:ilvl="1" w:tplc="041A0019" w:tentative="1">
      <w:start w:val="1"/>
      <w:numFmt w:val="lowerLetter"/>
      <w:lvlText w:val="%2."/>
      <w:lvlJc w:val="left"/>
      <w:pPr>
        <w:ind w:left="2490" w:hanging="360"/>
      </w:pPr>
    </w:lvl>
    <w:lvl w:ilvl="2" w:tplc="041A001B" w:tentative="1">
      <w:start w:val="1"/>
      <w:numFmt w:val="lowerRoman"/>
      <w:lvlText w:val="%3."/>
      <w:lvlJc w:val="right"/>
      <w:pPr>
        <w:ind w:left="3210" w:hanging="180"/>
      </w:pPr>
    </w:lvl>
    <w:lvl w:ilvl="3" w:tplc="041A000F" w:tentative="1">
      <w:start w:val="1"/>
      <w:numFmt w:val="decimal"/>
      <w:lvlText w:val="%4."/>
      <w:lvlJc w:val="left"/>
      <w:pPr>
        <w:ind w:left="3930" w:hanging="360"/>
      </w:pPr>
    </w:lvl>
    <w:lvl w:ilvl="4" w:tplc="041A0019" w:tentative="1">
      <w:start w:val="1"/>
      <w:numFmt w:val="lowerLetter"/>
      <w:lvlText w:val="%5."/>
      <w:lvlJc w:val="left"/>
      <w:pPr>
        <w:ind w:left="4650" w:hanging="360"/>
      </w:pPr>
    </w:lvl>
    <w:lvl w:ilvl="5" w:tplc="041A001B" w:tentative="1">
      <w:start w:val="1"/>
      <w:numFmt w:val="lowerRoman"/>
      <w:lvlText w:val="%6."/>
      <w:lvlJc w:val="right"/>
      <w:pPr>
        <w:ind w:left="5370" w:hanging="180"/>
      </w:pPr>
    </w:lvl>
    <w:lvl w:ilvl="6" w:tplc="041A000F" w:tentative="1">
      <w:start w:val="1"/>
      <w:numFmt w:val="decimal"/>
      <w:lvlText w:val="%7."/>
      <w:lvlJc w:val="left"/>
      <w:pPr>
        <w:ind w:left="6090" w:hanging="360"/>
      </w:pPr>
    </w:lvl>
    <w:lvl w:ilvl="7" w:tplc="041A0019" w:tentative="1">
      <w:start w:val="1"/>
      <w:numFmt w:val="lowerLetter"/>
      <w:lvlText w:val="%8."/>
      <w:lvlJc w:val="left"/>
      <w:pPr>
        <w:ind w:left="6810" w:hanging="360"/>
      </w:pPr>
    </w:lvl>
    <w:lvl w:ilvl="8" w:tplc="041A001B" w:tentative="1">
      <w:start w:val="1"/>
      <w:numFmt w:val="lowerRoman"/>
      <w:lvlText w:val="%9."/>
      <w:lvlJc w:val="right"/>
      <w:pPr>
        <w:ind w:left="7530" w:hanging="180"/>
      </w:pPr>
    </w:lvl>
  </w:abstractNum>
  <w:abstractNum w:abstractNumId="9" w15:restartNumberingAfterBreak="0">
    <w:nsid w:val="26746840"/>
    <w:multiLevelType w:val="hybridMultilevel"/>
    <w:tmpl w:val="248A3AE2"/>
    <w:lvl w:ilvl="0" w:tplc="B0A2C174">
      <w:start w:val="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C67390F"/>
    <w:multiLevelType w:val="hybridMultilevel"/>
    <w:tmpl w:val="886891EE"/>
    <w:lvl w:ilvl="0" w:tplc="96EA33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655552"/>
    <w:multiLevelType w:val="hybridMultilevel"/>
    <w:tmpl w:val="7208228A"/>
    <w:lvl w:ilvl="0" w:tplc="FE64E874">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2" w15:restartNumberingAfterBreak="0">
    <w:nsid w:val="3E7A08AE"/>
    <w:multiLevelType w:val="hybridMultilevel"/>
    <w:tmpl w:val="39B891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27F4B2D"/>
    <w:multiLevelType w:val="hybridMultilevel"/>
    <w:tmpl w:val="0B16B792"/>
    <w:lvl w:ilvl="0" w:tplc="EC82B464">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8F6F20"/>
    <w:multiLevelType w:val="hybridMultilevel"/>
    <w:tmpl w:val="E548AD1E"/>
    <w:lvl w:ilvl="0" w:tplc="ADB44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9B52AB"/>
    <w:multiLevelType w:val="hybridMultilevel"/>
    <w:tmpl w:val="E8EE9C2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6CC1B46"/>
    <w:multiLevelType w:val="hybridMultilevel"/>
    <w:tmpl w:val="E410D4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BA782F"/>
    <w:multiLevelType w:val="hybridMultilevel"/>
    <w:tmpl w:val="FDE0231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9E57B62"/>
    <w:multiLevelType w:val="hybridMultilevel"/>
    <w:tmpl w:val="7E7CF5E4"/>
    <w:lvl w:ilvl="0" w:tplc="04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940A7E"/>
    <w:multiLevelType w:val="hybridMultilevel"/>
    <w:tmpl w:val="A4361B5C"/>
    <w:lvl w:ilvl="0" w:tplc="C05295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B35522"/>
    <w:multiLevelType w:val="hybridMultilevel"/>
    <w:tmpl w:val="C3C86CAA"/>
    <w:lvl w:ilvl="0" w:tplc="02886B24">
      <w:start w:val="1"/>
      <w:numFmt w:val="bullet"/>
      <w:lvlText w:val="-"/>
      <w:lvlJc w:val="left"/>
      <w:pPr>
        <w:ind w:left="1065" w:hanging="360"/>
      </w:pPr>
      <w:rPr>
        <w:rFonts w:ascii="Times New Roman" w:eastAsia="Times New Roman" w:hAnsi="Times New Roman" w:cs="Times New Roman" w:hint="default"/>
      </w:rPr>
    </w:lvl>
    <w:lvl w:ilvl="1" w:tplc="041A0003">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1" w15:restartNumberingAfterBreak="0">
    <w:nsid w:val="62313436"/>
    <w:multiLevelType w:val="hybridMultilevel"/>
    <w:tmpl w:val="D4A69B5C"/>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3F5036C"/>
    <w:multiLevelType w:val="hybridMultilevel"/>
    <w:tmpl w:val="3C6E9C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7027B86"/>
    <w:multiLevelType w:val="hybridMultilevel"/>
    <w:tmpl w:val="20FA57D2"/>
    <w:lvl w:ilvl="0" w:tplc="E5EC17E0">
      <w:start w:val="1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C70DA4"/>
    <w:multiLevelType w:val="hybridMultilevel"/>
    <w:tmpl w:val="396E7D5E"/>
    <w:lvl w:ilvl="0" w:tplc="E0803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556FD2"/>
    <w:multiLevelType w:val="hybridMultilevel"/>
    <w:tmpl w:val="BD6EB01C"/>
    <w:lvl w:ilvl="0" w:tplc="93F0FA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B44792"/>
    <w:multiLevelType w:val="hybridMultilevel"/>
    <w:tmpl w:val="4364A2D8"/>
    <w:lvl w:ilvl="0" w:tplc="33303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6"/>
  </w:num>
  <w:num w:numId="3">
    <w:abstractNumId w:val="4"/>
  </w:num>
  <w:num w:numId="4">
    <w:abstractNumId w:val="19"/>
  </w:num>
  <w:num w:numId="5">
    <w:abstractNumId w:val="18"/>
  </w:num>
  <w:num w:numId="6">
    <w:abstractNumId w:val="26"/>
  </w:num>
  <w:num w:numId="7">
    <w:abstractNumId w:val="2"/>
  </w:num>
  <w:num w:numId="8">
    <w:abstractNumId w:val="10"/>
  </w:num>
  <w:num w:numId="9">
    <w:abstractNumId w:val="14"/>
  </w:num>
  <w:num w:numId="10">
    <w:abstractNumId w:val="5"/>
  </w:num>
  <w:num w:numId="11">
    <w:abstractNumId w:val="24"/>
  </w:num>
  <w:num w:numId="12">
    <w:abstractNumId w:val="25"/>
  </w:num>
  <w:num w:numId="13">
    <w:abstractNumId w:val="13"/>
  </w:num>
  <w:num w:numId="14">
    <w:abstractNumId w:val="8"/>
  </w:num>
  <w:num w:numId="15">
    <w:abstractNumId w:val="20"/>
  </w:num>
  <w:num w:numId="16">
    <w:abstractNumId w:val="22"/>
  </w:num>
  <w:num w:numId="17">
    <w:abstractNumId w:val="7"/>
  </w:num>
  <w:num w:numId="18">
    <w:abstractNumId w:val="11"/>
  </w:num>
  <w:num w:numId="19">
    <w:abstractNumId w:val="15"/>
  </w:num>
  <w:num w:numId="20">
    <w:abstractNumId w:val="9"/>
  </w:num>
  <w:num w:numId="21">
    <w:abstractNumId w:val="21"/>
  </w:num>
  <w:num w:numId="22">
    <w:abstractNumId w:val="17"/>
  </w:num>
  <w:num w:numId="23">
    <w:abstractNumId w:val="0"/>
  </w:num>
  <w:num w:numId="24">
    <w:abstractNumId w:val="3"/>
  </w:num>
  <w:num w:numId="25">
    <w:abstractNumId w:val="12"/>
  </w:num>
  <w:num w:numId="26">
    <w:abstractNumId w:val="2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BE1"/>
    <w:rsid w:val="00017059"/>
    <w:rsid w:val="00024EC1"/>
    <w:rsid w:val="000303C4"/>
    <w:rsid w:val="00036416"/>
    <w:rsid w:val="00062905"/>
    <w:rsid w:val="000646FB"/>
    <w:rsid w:val="00073F1C"/>
    <w:rsid w:val="00077ECA"/>
    <w:rsid w:val="000804D2"/>
    <w:rsid w:val="00081C3C"/>
    <w:rsid w:val="00092FC9"/>
    <w:rsid w:val="000A05F3"/>
    <w:rsid w:val="000A6CD7"/>
    <w:rsid w:val="000B0974"/>
    <w:rsid w:val="000B163E"/>
    <w:rsid w:val="000B5C5D"/>
    <w:rsid w:val="000B6C48"/>
    <w:rsid w:val="000B75E4"/>
    <w:rsid w:val="000C1097"/>
    <w:rsid w:val="000E03A3"/>
    <w:rsid w:val="00122D16"/>
    <w:rsid w:val="00140B9F"/>
    <w:rsid w:val="0014782D"/>
    <w:rsid w:val="00154A20"/>
    <w:rsid w:val="0015530E"/>
    <w:rsid w:val="00156575"/>
    <w:rsid w:val="00161321"/>
    <w:rsid w:val="001853DF"/>
    <w:rsid w:val="00191E8B"/>
    <w:rsid w:val="001968AD"/>
    <w:rsid w:val="001A206B"/>
    <w:rsid w:val="001B0722"/>
    <w:rsid w:val="001B45DC"/>
    <w:rsid w:val="001F433F"/>
    <w:rsid w:val="00205FBB"/>
    <w:rsid w:val="0021072E"/>
    <w:rsid w:val="00222ABF"/>
    <w:rsid w:val="002307AC"/>
    <w:rsid w:val="002572A1"/>
    <w:rsid w:val="00282CD8"/>
    <w:rsid w:val="00282D00"/>
    <w:rsid w:val="0028657C"/>
    <w:rsid w:val="00291B91"/>
    <w:rsid w:val="002C07D0"/>
    <w:rsid w:val="002D460F"/>
    <w:rsid w:val="002E7F01"/>
    <w:rsid w:val="0030293E"/>
    <w:rsid w:val="003154C2"/>
    <w:rsid w:val="003166BF"/>
    <w:rsid w:val="0032062F"/>
    <w:rsid w:val="003238EB"/>
    <w:rsid w:val="00327378"/>
    <w:rsid w:val="00343B65"/>
    <w:rsid w:val="00344B25"/>
    <w:rsid w:val="00346565"/>
    <w:rsid w:val="0038276A"/>
    <w:rsid w:val="00397302"/>
    <w:rsid w:val="003A46AA"/>
    <w:rsid w:val="003B2497"/>
    <w:rsid w:val="003C111F"/>
    <w:rsid w:val="003D2BD5"/>
    <w:rsid w:val="003D575E"/>
    <w:rsid w:val="003E2715"/>
    <w:rsid w:val="00410743"/>
    <w:rsid w:val="0043022E"/>
    <w:rsid w:val="00447A99"/>
    <w:rsid w:val="00462AF8"/>
    <w:rsid w:val="004766EB"/>
    <w:rsid w:val="00480E53"/>
    <w:rsid w:val="004858CC"/>
    <w:rsid w:val="004A26A2"/>
    <w:rsid w:val="004E1512"/>
    <w:rsid w:val="004E1897"/>
    <w:rsid w:val="004F4267"/>
    <w:rsid w:val="004F63E5"/>
    <w:rsid w:val="005105F5"/>
    <w:rsid w:val="00513345"/>
    <w:rsid w:val="0051634B"/>
    <w:rsid w:val="00535423"/>
    <w:rsid w:val="005623C8"/>
    <w:rsid w:val="00566120"/>
    <w:rsid w:val="005912AD"/>
    <w:rsid w:val="005A0339"/>
    <w:rsid w:val="005B0617"/>
    <w:rsid w:val="005B4D0C"/>
    <w:rsid w:val="005B6963"/>
    <w:rsid w:val="005C08B8"/>
    <w:rsid w:val="005C4088"/>
    <w:rsid w:val="005E3F0F"/>
    <w:rsid w:val="005E6E60"/>
    <w:rsid w:val="005F7AAF"/>
    <w:rsid w:val="006123CE"/>
    <w:rsid w:val="00615ABD"/>
    <w:rsid w:val="00616C30"/>
    <w:rsid w:val="00620BFB"/>
    <w:rsid w:val="006219F7"/>
    <w:rsid w:val="00630C90"/>
    <w:rsid w:val="0065162E"/>
    <w:rsid w:val="00664234"/>
    <w:rsid w:val="006666EC"/>
    <w:rsid w:val="00666710"/>
    <w:rsid w:val="0067047A"/>
    <w:rsid w:val="00671B6F"/>
    <w:rsid w:val="00676CAB"/>
    <w:rsid w:val="00681DC0"/>
    <w:rsid w:val="0068740C"/>
    <w:rsid w:val="00690AAF"/>
    <w:rsid w:val="006C415A"/>
    <w:rsid w:val="006C7698"/>
    <w:rsid w:val="006F269E"/>
    <w:rsid w:val="006F5E4C"/>
    <w:rsid w:val="0070070C"/>
    <w:rsid w:val="007815BA"/>
    <w:rsid w:val="00783531"/>
    <w:rsid w:val="00785ECD"/>
    <w:rsid w:val="00792AAD"/>
    <w:rsid w:val="007B50E9"/>
    <w:rsid w:val="007C77D7"/>
    <w:rsid w:val="007D65D1"/>
    <w:rsid w:val="007F1E14"/>
    <w:rsid w:val="007F2780"/>
    <w:rsid w:val="007F53C4"/>
    <w:rsid w:val="00805B21"/>
    <w:rsid w:val="008218FA"/>
    <w:rsid w:val="00841FB4"/>
    <w:rsid w:val="0084504D"/>
    <w:rsid w:val="0087337D"/>
    <w:rsid w:val="00885C5E"/>
    <w:rsid w:val="00897D7A"/>
    <w:rsid w:val="008A6B41"/>
    <w:rsid w:val="008C33BB"/>
    <w:rsid w:val="008D4015"/>
    <w:rsid w:val="008E128D"/>
    <w:rsid w:val="008F15BB"/>
    <w:rsid w:val="009047E5"/>
    <w:rsid w:val="00906CB0"/>
    <w:rsid w:val="009217CB"/>
    <w:rsid w:val="00931F9D"/>
    <w:rsid w:val="00951941"/>
    <w:rsid w:val="00955AFA"/>
    <w:rsid w:val="00955B67"/>
    <w:rsid w:val="009873D0"/>
    <w:rsid w:val="0099424C"/>
    <w:rsid w:val="009B4186"/>
    <w:rsid w:val="009C1CEC"/>
    <w:rsid w:val="009E7BDE"/>
    <w:rsid w:val="009F4249"/>
    <w:rsid w:val="009F75EA"/>
    <w:rsid w:val="00A00E86"/>
    <w:rsid w:val="00A04267"/>
    <w:rsid w:val="00A21F83"/>
    <w:rsid w:val="00A453B2"/>
    <w:rsid w:val="00A45CCC"/>
    <w:rsid w:val="00A633C7"/>
    <w:rsid w:val="00A77B26"/>
    <w:rsid w:val="00AA5F30"/>
    <w:rsid w:val="00AB5106"/>
    <w:rsid w:val="00AB7448"/>
    <w:rsid w:val="00AC2A05"/>
    <w:rsid w:val="00AE43F8"/>
    <w:rsid w:val="00AE5753"/>
    <w:rsid w:val="00AF5BE1"/>
    <w:rsid w:val="00B03541"/>
    <w:rsid w:val="00B10ADB"/>
    <w:rsid w:val="00B143F1"/>
    <w:rsid w:val="00B34B0C"/>
    <w:rsid w:val="00B35E60"/>
    <w:rsid w:val="00B8413D"/>
    <w:rsid w:val="00B934FD"/>
    <w:rsid w:val="00BC4688"/>
    <w:rsid w:val="00BC66B1"/>
    <w:rsid w:val="00BE386A"/>
    <w:rsid w:val="00C11402"/>
    <w:rsid w:val="00C21483"/>
    <w:rsid w:val="00C3043B"/>
    <w:rsid w:val="00C40F32"/>
    <w:rsid w:val="00C42E63"/>
    <w:rsid w:val="00C474A5"/>
    <w:rsid w:val="00C74F65"/>
    <w:rsid w:val="00C81E2F"/>
    <w:rsid w:val="00C83A52"/>
    <w:rsid w:val="00C95B21"/>
    <w:rsid w:val="00CB53F1"/>
    <w:rsid w:val="00CE13E9"/>
    <w:rsid w:val="00CF299D"/>
    <w:rsid w:val="00D22B89"/>
    <w:rsid w:val="00D268C9"/>
    <w:rsid w:val="00D3058B"/>
    <w:rsid w:val="00D33DE7"/>
    <w:rsid w:val="00D37E29"/>
    <w:rsid w:val="00D404FD"/>
    <w:rsid w:val="00D548C0"/>
    <w:rsid w:val="00D57245"/>
    <w:rsid w:val="00D716A9"/>
    <w:rsid w:val="00D77D2A"/>
    <w:rsid w:val="00D8159C"/>
    <w:rsid w:val="00D91CD9"/>
    <w:rsid w:val="00DA369D"/>
    <w:rsid w:val="00DC2CA1"/>
    <w:rsid w:val="00DC53DB"/>
    <w:rsid w:val="00DD6099"/>
    <w:rsid w:val="00DE6BD7"/>
    <w:rsid w:val="00E01E74"/>
    <w:rsid w:val="00E04F60"/>
    <w:rsid w:val="00E65B36"/>
    <w:rsid w:val="00E81E56"/>
    <w:rsid w:val="00E82AB2"/>
    <w:rsid w:val="00E92EBA"/>
    <w:rsid w:val="00E96184"/>
    <w:rsid w:val="00EA1C2A"/>
    <w:rsid w:val="00EA7DC1"/>
    <w:rsid w:val="00EB618C"/>
    <w:rsid w:val="00EC461A"/>
    <w:rsid w:val="00ED265B"/>
    <w:rsid w:val="00ED30BE"/>
    <w:rsid w:val="00EE12BB"/>
    <w:rsid w:val="00EE59C6"/>
    <w:rsid w:val="00F060BB"/>
    <w:rsid w:val="00F20494"/>
    <w:rsid w:val="00F32AAC"/>
    <w:rsid w:val="00F64325"/>
    <w:rsid w:val="00F75137"/>
    <w:rsid w:val="00F848D7"/>
    <w:rsid w:val="00F85B1E"/>
    <w:rsid w:val="00F87279"/>
    <w:rsid w:val="00FA40EE"/>
    <w:rsid w:val="00FB07F0"/>
    <w:rsid w:val="00FB3D86"/>
    <w:rsid w:val="00FD5AA8"/>
    <w:rsid w:val="00FE6544"/>
    <w:rsid w:val="00FF06B6"/>
    <w:rsid w:val="00FF2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8B5870E-7E8E-4592-BD55-BF89C0FC3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hr-HR" w:eastAsia="hr-HR"/>
    </w:rPr>
  </w:style>
  <w:style w:type="paragraph" w:styleId="Naslov1">
    <w:name w:val="heading 1"/>
    <w:basedOn w:val="Normal"/>
    <w:link w:val="Naslov1Char"/>
    <w:uiPriority w:val="9"/>
    <w:qFormat/>
    <w:rsid w:val="001B45DC"/>
    <w:pPr>
      <w:spacing w:before="100" w:beforeAutospacing="1" w:after="100" w:afterAutospacing="1"/>
      <w:outlineLvl w:val="0"/>
    </w:pPr>
    <w:rPr>
      <w:b/>
      <w:bCs/>
      <w:kern w:val="36"/>
      <w:sz w:val="48"/>
      <w:szCs w:val="4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Kartadokumenta">
    <w:name w:val="Document Map"/>
    <w:basedOn w:val="Normal"/>
    <w:semiHidden/>
    <w:rsid w:val="00327378"/>
    <w:pPr>
      <w:shd w:val="clear" w:color="auto" w:fill="000080"/>
    </w:pPr>
    <w:rPr>
      <w:rFonts w:ascii="Tahoma" w:hAnsi="Tahoma" w:cs="Tahoma"/>
    </w:rPr>
  </w:style>
  <w:style w:type="paragraph" w:styleId="Tekstbalonia">
    <w:name w:val="Balloon Text"/>
    <w:basedOn w:val="Normal"/>
    <w:semiHidden/>
    <w:rsid w:val="009217CB"/>
    <w:rPr>
      <w:rFonts w:ascii="Tahoma" w:hAnsi="Tahoma" w:cs="Tahoma"/>
      <w:sz w:val="16"/>
      <w:szCs w:val="16"/>
    </w:rPr>
  </w:style>
  <w:style w:type="paragraph" w:styleId="Zaglavlje">
    <w:name w:val="header"/>
    <w:basedOn w:val="Normal"/>
    <w:link w:val="ZaglavljeChar"/>
    <w:uiPriority w:val="99"/>
    <w:unhideWhenUsed/>
    <w:rsid w:val="00AE43F8"/>
    <w:pPr>
      <w:tabs>
        <w:tab w:val="center" w:pos="4703"/>
        <w:tab w:val="right" w:pos="9406"/>
      </w:tabs>
    </w:pPr>
  </w:style>
  <w:style w:type="character" w:customStyle="1" w:styleId="ZaglavljeChar">
    <w:name w:val="Zaglavlje Char"/>
    <w:link w:val="Zaglavlje"/>
    <w:uiPriority w:val="99"/>
    <w:rsid w:val="00AE43F8"/>
    <w:rPr>
      <w:sz w:val="24"/>
      <w:szCs w:val="24"/>
      <w:lang w:val="hr-HR" w:eastAsia="hr-HR"/>
    </w:rPr>
  </w:style>
  <w:style w:type="paragraph" w:styleId="Podnoje">
    <w:name w:val="footer"/>
    <w:basedOn w:val="Normal"/>
    <w:link w:val="PodnojeChar"/>
    <w:uiPriority w:val="99"/>
    <w:unhideWhenUsed/>
    <w:rsid w:val="00AE43F8"/>
    <w:pPr>
      <w:tabs>
        <w:tab w:val="center" w:pos="4703"/>
        <w:tab w:val="right" w:pos="9406"/>
      </w:tabs>
    </w:pPr>
  </w:style>
  <w:style w:type="character" w:customStyle="1" w:styleId="PodnojeChar">
    <w:name w:val="Podnožje Char"/>
    <w:link w:val="Podnoje"/>
    <w:uiPriority w:val="99"/>
    <w:rsid w:val="00AE43F8"/>
    <w:rPr>
      <w:sz w:val="24"/>
      <w:szCs w:val="24"/>
      <w:lang w:val="hr-HR" w:eastAsia="hr-HR"/>
    </w:rPr>
  </w:style>
  <w:style w:type="paragraph" w:styleId="Odlomakpopisa">
    <w:name w:val="List Paragraph"/>
    <w:basedOn w:val="Normal"/>
    <w:uiPriority w:val="34"/>
    <w:qFormat/>
    <w:rsid w:val="00E04F60"/>
    <w:pPr>
      <w:ind w:left="720"/>
      <w:contextualSpacing/>
    </w:pPr>
  </w:style>
  <w:style w:type="character" w:customStyle="1" w:styleId="Naslov1Char">
    <w:name w:val="Naslov 1 Char"/>
    <w:basedOn w:val="Zadanifontodlomka"/>
    <w:link w:val="Naslov1"/>
    <w:uiPriority w:val="9"/>
    <w:rsid w:val="001B45DC"/>
    <w:rPr>
      <w:b/>
      <w:bCs/>
      <w:kern w:val="36"/>
      <w:sz w:val="48"/>
      <w:szCs w:val="48"/>
      <w:lang w:val="hr-HR" w:eastAsia="hr-HR"/>
    </w:rPr>
  </w:style>
  <w:style w:type="table" w:styleId="Reetkatablice">
    <w:name w:val="Table Grid"/>
    <w:basedOn w:val="Obinatablica"/>
    <w:uiPriority w:val="39"/>
    <w:rsid w:val="009C1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49224">
      <w:bodyDiv w:val="1"/>
      <w:marLeft w:val="0"/>
      <w:marRight w:val="0"/>
      <w:marTop w:val="0"/>
      <w:marBottom w:val="0"/>
      <w:divBdr>
        <w:top w:val="none" w:sz="0" w:space="0" w:color="auto"/>
        <w:left w:val="none" w:sz="0" w:space="0" w:color="auto"/>
        <w:bottom w:val="none" w:sz="0" w:space="0" w:color="auto"/>
        <w:right w:val="none" w:sz="0" w:space="0" w:color="auto"/>
      </w:divBdr>
    </w:div>
    <w:div w:id="109666591">
      <w:bodyDiv w:val="1"/>
      <w:marLeft w:val="0"/>
      <w:marRight w:val="0"/>
      <w:marTop w:val="0"/>
      <w:marBottom w:val="0"/>
      <w:divBdr>
        <w:top w:val="none" w:sz="0" w:space="0" w:color="auto"/>
        <w:left w:val="none" w:sz="0" w:space="0" w:color="auto"/>
        <w:bottom w:val="none" w:sz="0" w:space="0" w:color="auto"/>
        <w:right w:val="none" w:sz="0" w:space="0" w:color="auto"/>
      </w:divBdr>
    </w:div>
    <w:div w:id="116877364">
      <w:bodyDiv w:val="1"/>
      <w:marLeft w:val="0"/>
      <w:marRight w:val="0"/>
      <w:marTop w:val="0"/>
      <w:marBottom w:val="0"/>
      <w:divBdr>
        <w:top w:val="none" w:sz="0" w:space="0" w:color="auto"/>
        <w:left w:val="none" w:sz="0" w:space="0" w:color="auto"/>
        <w:bottom w:val="none" w:sz="0" w:space="0" w:color="auto"/>
        <w:right w:val="none" w:sz="0" w:space="0" w:color="auto"/>
      </w:divBdr>
    </w:div>
    <w:div w:id="361906411">
      <w:bodyDiv w:val="1"/>
      <w:marLeft w:val="0"/>
      <w:marRight w:val="0"/>
      <w:marTop w:val="0"/>
      <w:marBottom w:val="0"/>
      <w:divBdr>
        <w:top w:val="none" w:sz="0" w:space="0" w:color="auto"/>
        <w:left w:val="none" w:sz="0" w:space="0" w:color="auto"/>
        <w:bottom w:val="none" w:sz="0" w:space="0" w:color="auto"/>
        <w:right w:val="none" w:sz="0" w:space="0" w:color="auto"/>
      </w:divBdr>
    </w:div>
    <w:div w:id="380910443">
      <w:bodyDiv w:val="1"/>
      <w:marLeft w:val="0"/>
      <w:marRight w:val="0"/>
      <w:marTop w:val="0"/>
      <w:marBottom w:val="0"/>
      <w:divBdr>
        <w:top w:val="none" w:sz="0" w:space="0" w:color="auto"/>
        <w:left w:val="none" w:sz="0" w:space="0" w:color="auto"/>
        <w:bottom w:val="none" w:sz="0" w:space="0" w:color="auto"/>
        <w:right w:val="none" w:sz="0" w:space="0" w:color="auto"/>
      </w:divBdr>
    </w:div>
    <w:div w:id="758715472">
      <w:bodyDiv w:val="1"/>
      <w:marLeft w:val="0"/>
      <w:marRight w:val="0"/>
      <w:marTop w:val="0"/>
      <w:marBottom w:val="0"/>
      <w:divBdr>
        <w:top w:val="none" w:sz="0" w:space="0" w:color="auto"/>
        <w:left w:val="none" w:sz="0" w:space="0" w:color="auto"/>
        <w:bottom w:val="none" w:sz="0" w:space="0" w:color="auto"/>
        <w:right w:val="none" w:sz="0" w:space="0" w:color="auto"/>
      </w:divBdr>
    </w:div>
    <w:div w:id="1045638406">
      <w:bodyDiv w:val="1"/>
      <w:marLeft w:val="0"/>
      <w:marRight w:val="0"/>
      <w:marTop w:val="0"/>
      <w:marBottom w:val="0"/>
      <w:divBdr>
        <w:top w:val="none" w:sz="0" w:space="0" w:color="auto"/>
        <w:left w:val="none" w:sz="0" w:space="0" w:color="auto"/>
        <w:bottom w:val="none" w:sz="0" w:space="0" w:color="auto"/>
        <w:right w:val="none" w:sz="0" w:space="0" w:color="auto"/>
      </w:divBdr>
    </w:div>
    <w:div w:id="1135098941">
      <w:bodyDiv w:val="1"/>
      <w:marLeft w:val="0"/>
      <w:marRight w:val="0"/>
      <w:marTop w:val="0"/>
      <w:marBottom w:val="0"/>
      <w:divBdr>
        <w:top w:val="none" w:sz="0" w:space="0" w:color="auto"/>
        <w:left w:val="none" w:sz="0" w:space="0" w:color="auto"/>
        <w:bottom w:val="none" w:sz="0" w:space="0" w:color="auto"/>
        <w:right w:val="none" w:sz="0" w:space="0" w:color="auto"/>
      </w:divBdr>
    </w:div>
    <w:div w:id="1237780713">
      <w:bodyDiv w:val="1"/>
      <w:marLeft w:val="0"/>
      <w:marRight w:val="0"/>
      <w:marTop w:val="0"/>
      <w:marBottom w:val="0"/>
      <w:divBdr>
        <w:top w:val="none" w:sz="0" w:space="0" w:color="auto"/>
        <w:left w:val="none" w:sz="0" w:space="0" w:color="auto"/>
        <w:bottom w:val="none" w:sz="0" w:space="0" w:color="auto"/>
        <w:right w:val="none" w:sz="0" w:space="0" w:color="auto"/>
      </w:divBdr>
    </w:div>
    <w:div w:id="1350181877">
      <w:bodyDiv w:val="1"/>
      <w:marLeft w:val="0"/>
      <w:marRight w:val="0"/>
      <w:marTop w:val="0"/>
      <w:marBottom w:val="0"/>
      <w:divBdr>
        <w:top w:val="none" w:sz="0" w:space="0" w:color="auto"/>
        <w:left w:val="none" w:sz="0" w:space="0" w:color="auto"/>
        <w:bottom w:val="none" w:sz="0" w:space="0" w:color="auto"/>
        <w:right w:val="none" w:sz="0" w:space="0" w:color="auto"/>
      </w:divBdr>
    </w:div>
    <w:div w:id="1413041117">
      <w:bodyDiv w:val="1"/>
      <w:marLeft w:val="0"/>
      <w:marRight w:val="0"/>
      <w:marTop w:val="0"/>
      <w:marBottom w:val="0"/>
      <w:divBdr>
        <w:top w:val="none" w:sz="0" w:space="0" w:color="auto"/>
        <w:left w:val="none" w:sz="0" w:space="0" w:color="auto"/>
        <w:bottom w:val="none" w:sz="0" w:space="0" w:color="auto"/>
        <w:right w:val="none" w:sz="0" w:space="0" w:color="auto"/>
      </w:divBdr>
    </w:div>
    <w:div w:id="1632053766">
      <w:bodyDiv w:val="1"/>
      <w:marLeft w:val="0"/>
      <w:marRight w:val="0"/>
      <w:marTop w:val="0"/>
      <w:marBottom w:val="0"/>
      <w:divBdr>
        <w:top w:val="none" w:sz="0" w:space="0" w:color="auto"/>
        <w:left w:val="none" w:sz="0" w:space="0" w:color="auto"/>
        <w:bottom w:val="none" w:sz="0" w:space="0" w:color="auto"/>
        <w:right w:val="none" w:sz="0" w:space="0" w:color="auto"/>
      </w:divBdr>
    </w:div>
    <w:div w:id="1681203986">
      <w:bodyDiv w:val="1"/>
      <w:marLeft w:val="0"/>
      <w:marRight w:val="0"/>
      <w:marTop w:val="0"/>
      <w:marBottom w:val="0"/>
      <w:divBdr>
        <w:top w:val="none" w:sz="0" w:space="0" w:color="auto"/>
        <w:left w:val="none" w:sz="0" w:space="0" w:color="auto"/>
        <w:bottom w:val="none" w:sz="0" w:space="0" w:color="auto"/>
        <w:right w:val="none" w:sz="0" w:space="0" w:color="auto"/>
      </w:divBdr>
    </w:div>
    <w:div w:id="1923760446">
      <w:bodyDiv w:val="1"/>
      <w:marLeft w:val="0"/>
      <w:marRight w:val="0"/>
      <w:marTop w:val="0"/>
      <w:marBottom w:val="0"/>
      <w:divBdr>
        <w:top w:val="none" w:sz="0" w:space="0" w:color="auto"/>
        <w:left w:val="none" w:sz="0" w:space="0" w:color="auto"/>
        <w:bottom w:val="none" w:sz="0" w:space="0" w:color="auto"/>
        <w:right w:val="none" w:sz="0" w:space="0" w:color="auto"/>
      </w:divBdr>
    </w:div>
    <w:div w:id="2025087551">
      <w:bodyDiv w:val="1"/>
      <w:marLeft w:val="0"/>
      <w:marRight w:val="0"/>
      <w:marTop w:val="0"/>
      <w:marBottom w:val="0"/>
      <w:divBdr>
        <w:top w:val="none" w:sz="0" w:space="0" w:color="auto"/>
        <w:left w:val="none" w:sz="0" w:space="0" w:color="auto"/>
        <w:bottom w:val="none" w:sz="0" w:space="0" w:color="auto"/>
        <w:right w:val="none" w:sz="0" w:space="0" w:color="auto"/>
      </w:divBdr>
    </w:div>
    <w:div w:id="205784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4</Pages>
  <Words>1267</Words>
  <Characters>7224</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REPUBLIKA HRVATSKA</vt:lpstr>
    </vt:vector>
  </TitlesOfParts>
  <Company/>
  <LinksUpToDate>false</LinksUpToDate>
  <CharactersWithSpaces>8475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subject/>
  <dc:creator>korisnik</dc:creator>
  <cp:keywords/>
  <dc:description/>
  <cp:lastModifiedBy>Administrator</cp:lastModifiedBy>
  <cp:revision>3</cp:revision>
  <cp:lastPrinted>2020-05-07T08:18:00Z</cp:lastPrinted>
  <dcterms:created xsi:type="dcterms:W3CDTF">2024-07-09T09:41:00Z</dcterms:created>
  <dcterms:modified xsi:type="dcterms:W3CDTF">2024-07-09T11:36:00Z</dcterms:modified>
</cp:coreProperties>
</file>