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5DC" w:rsidRPr="005F4475" w:rsidRDefault="00620BFB" w:rsidP="00CB53F1">
      <w:pPr>
        <w:jc w:val="both"/>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7.05pt;margin-top:.35pt;width:33.3pt;height:40.3pt;z-index:251659264" o:allowincell="f">
            <v:imagedata r:id="rId7" o:title=""/>
            <w10:wrap type="topAndBottom"/>
          </v:shape>
          <o:OLEObject Type="Embed" ProgID="MS_ClipArt_Gallery" ShapeID="_x0000_s1027" DrawAspect="Content" ObjectID="_1769412041" r:id="rId8"/>
        </w:object>
      </w:r>
      <w:r w:rsidR="001B45DC" w:rsidRPr="005F4475">
        <w:t>REPUBLIKA HRVATSKA</w:t>
      </w:r>
    </w:p>
    <w:p w:rsidR="001B45DC" w:rsidRPr="005F4475" w:rsidRDefault="001B45DC" w:rsidP="001B45DC">
      <w:pPr>
        <w:ind w:right="-1391"/>
        <w:contextualSpacing/>
        <w:jc w:val="both"/>
        <w:rPr>
          <w:sz w:val="17"/>
          <w:szCs w:val="17"/>
        </w:rP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6350</wp:posOffset>
            </wp:positionV>
            <wp:extent cx="424180" cy="554990"/>
            <wp:effectExtent l="0" t="0" r="0" b="0"/>
            <wp:wrapTight wrapText="bothSides">
              <wp:wrapPolygon edited="0">
                <wp:start x="0" y="0"/>
                <wp:lineTo x="0" y="20760"/>
                <wp:lineTo x="6790" y="20760"/>
                <wp:lineTo x="13581" y="20760"/>
                <wp:lineTo x="20371" y="20760"/>
                <wp:lineTo x="20371"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180"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4475">
        <w:rPr>
          <w:sz w:val="17"/>
          <w:szCs w:val="17"/>
        </w:rPr>
        <w:t>MEĐIMURSKA ŽUPANIJA</w:t>
      </w:r>
    </w:p>
    <w:p w:rsidR="001B45DC" w:rsidRPr="005F4475" w:rsidRDefault="001B45DC" w:rsidP="001B45DC">
      <w:pPr>
        <w:ind w:right="-1391"/>
        <w:contextualSpacing/>
        <w:jc w:val="both"/>
        <w:rPr>
          <w:sz w:val="17"/>
          <w:szCs w:val="17"/>
        </w:rPr>
      </w:pPr>
      <w:r w:rsidRPr="005F4475">
        <w:rPr>
          <w:sz w:val="17"/>
          <w:szCs w:val="17"/>
        </w:rPr>
        <w:t>OPĆINA VRATIŠINEC</w:t>
      </w:r>
    </w:p>
    <w:p w:rsidR="001B45DC" w:rsidRDefault="008E128D">
      <w:pPr>
        <w:rPr>
          <w:sz w:val="17"/>
          <w:szCs w:val="17"/>
        </w:rPr>
      </w:pPr>
      <w:r>
        <w:rPr>
          <w:sz w:val="17"/>
          <w:szCs w:val="17"/>
        </w:rPr>
        <w:t>Jedinstveni upravni odjel</w:t>
      </w:r>
    </w:p>
    <w:p w:rsidR="001B45DC" w:rsidRDefault="001B45DC">
      <w:pPr>
        <w:rPr>
          <w:sz w:val="17"/>
          <w:szCs w:val="17"/>
        </w:rPr>
      </w:pPr>
    </w:p>
    <w:p w:rsidR="001B45DC" w:rsidRDefault="001B45DC">
      <w:pPr>
        <w:rPr>
          <w:sz w:val="17"/>
          <w:szCs w:val="17"/>
        </w:rPr>
      </w:pPr>
    </w:p>
    <w:p w:rsidR="00F848D7" w:rsidRPr="00906CB0" w:rsidRDefault="00F848D7">
      <w:pPr>
        <w:rPr>
          <w:sz w:val="22"/>
          <w:szCs w:val="22"/>
        </w:rPr>
      </w:pPr>
      <w:r w:rsidRPr="00906CB0">
        <w:rPr>
          <w:sz w:val="22"/>
          <w:szCs w:val="22"/>
        </w:rPr>
        <w:t xml:space="preserve">                                                                                          </w:t>
      </w:r>
      <w:r w:rsidR="00AE5753" w:rsidRPr="00906CB0">
        <w:rPr>
          <w:sz w:val="22"/>
          <w:szCs w:val="22"/>
        </w:rPr>
        <w:t xml:space="preserve"> OBVEZNIK: Općina Vratišinec</w:t>
      </w:r>
    </w:p>
    <w:p w:rsidR="00F848D7" w:rsidRPr="00906CB0" w:rsidRDefault="00F848D7">
      <w:pPr>
        <w:rPr>
          <w:sz w:val="22"/>
          <w:szCs w:val="22"/>
        </w:rPr>
      </w:pPr>
      <w:r w:rsidRPr="00906CB0">
        <w:rPr>
          <w:sz w:val="22"/>
          <w:szCs w:val="22"/>
        </w:rPr>
        <w:t xml:space="preserve">                                                                         </w:t>
      </w:r>
      <w:r w:rsidR="00AE5753" w:rsidRPr="00906CB0">
        <w:rPr>
          <w:sz w:val="22"/>
          <w:szCs w:val="22"/>
        </w:rPr>
        <w:t xml:space="preserve">                  </w:t>
      </w:r>
      <w:r w:rsidR="00F20494" w:rsidRPr="00906CB0">
        <w:rPr>
          <w:sz w:val="22"/>
          <w:szCs w:val="22"/>
        </w:rPr>
        <w:t>Razina: 22,</w:t>
      </w:r>
      <w:r w:rsidR="00B143F1">
        <w:rPr>
          <w:sz w:val="22"/>
          <w:szCs w:val="22"/>
        </w:rPr>
        <w:t xml:space="preserve"> 23</w:t>
      </w:r>
    </w:p>
    <w:p w:rsidR="00F848D7" w:rsidRPr="00906CB0" w:rsidRDefault="00F848D7">
      <w:pPr>
        <w:rPr>
          <w:sz w:val="22"/>
          <w:szCs w:val="22"/>
        </w:rPr>
      </w:pPr>
      <w:r w:rsidRPr="00906CB0">
        <w:rPr>
          <w:sz w:val="22"/>
          <w:szCs w:val="22"/>
        </w:rPr>
        <w:t xml:space="preserve">                                                                                  </w:t>
      </w:r>
      <w:r w:rsidR="001F433F" w:rsidRPr="00906CB0">
        <w:rPr>
          <w:sz w:val="22"/>
          <w:szCs w:val="22"/>
        </w:rPr>
        <w:t xml:space="preserve">         </w:t>
      </w:r>
      <w:r w:rsidR="007F1E14" w:rsidRPr="00906CB0">
        <w:rPr>
          <w:sz w:val="22"/>
          <w:szCs w:val="22"/>
        </w:rPr>
        <w:t>Matični broj:</w:t>
      </w:r>
      <w:r w:rsidR="0030293E" w:rsidRPr="00906CB0">
        <w:rPr>
          <w:sz w:val="22"/>
          <w:szCs w:val="22"/>
        </w:rPr>
        <w:t xml:space="preserve"> 02637782</w:t>
      </w:r>
    </w:p>
    <w:p w:rsidR="00AE5753" w:rsidRPr="00906CB0" w:rsidRDefault="00906CB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AE5753" w:rsidRPr="00906CB0">
        <w:rPr>
          <w:sz w:val="22"/>
          <w:szCs w:val="22"/>
        </w:rPr>
        <w:t>RKP: 33618</w:t>
      </w:r>
    </w:p>
    <w:p w:rsidR="00F848D7" w:rsidRPr="00906CB0" w:rsidRDefault="00F848D7">
      <w:pPr>
        <w:rPr>
          <w:sz w:val="22"/>
          <w:szCs w:val="22"/>
        </w:rPr>
      </w:pPr>
      <w:r w:rsidRPr="00906CB0">
        <w:rPr>
          <w:sz w:val="22"/>
          <w:szCs w:val="22"/>
        </w:rPr>
        <w:t xml:space="preserve">                                                                                  </w:t>
      </w:r>
      <w:r w:rsidR="001F433F" w:rsidRPr="00906CB0">
        <w:rPr>
          <w:sz w:val="22"/>
          <w:szCs w:val="22"/>
        </w:rPr>
        <w:t xml:space="preserve">         </w:t>
      </w:r>
      <w:r w:rsidR="00C95B21" w:rsidRPr="00906CB0">
        <w:rPr>
          <w:sz w:val="22"/>
          <w:szCs w:val="22"/>
        </w:rPr>
        <w:t>Šifra djelatnosti:</w:t>
      </w:r>
      <w:r w:rsidR="00FE6544" w:rsidRPr="00906CB0">
        <w:rPr>
          <w:sz w:val="22"/>
          <w:szCs w:val="22"/>
        </w:rPr>
        <w:t xml:space="preserve"> 8411</w:t>
      </w:r>
    </w:p>
    <w:p w:rsidR="00F848D7" w:rsidRPr="00906CB0" w:rsidRDefault="00F848D7">
      <w:pPr>
        <w:rPr>
          <w:sz w:val="22"/>
          <w:szCs w:val="22"/>
        </w:rPr>
      </w:pPr>
      <w:r w:rsidRPr="00906CB0">
        <w:rPr>
          <w:sz w:val="22"/>
          <w:szCs w:val="22"/>
        </w:rPr>
        <w:t xml:space="preserve">                                                                        </w:t>
      </w:r>
      <w:r w:rsidR="001F433F" w:rsidRPr="00906CB0">
        <w:rPr>
          <w:sz w:val="22"/>
          <w:szCs w:val="22"/>
        </w:rPr>
        <w:t xml:space="preserve">                   IBAN: HR41 2340 0091 8504 00009</w:t>
      </w:r>
    </w:p>
    <w:p w:rsidR="00F848D7" w:rsidRPr="00906CB0" w:rsidRDefault="007F53C4">
      <w:pPr>
        <w:rPr>
          <w:sz w:val="22"/>
          <w:szCs w:val="22"/>
        </w:rPr>
      </w:pPr>
      <w:r w:rsidRPr="00906CB0">
        <w:rPr>
          <w:sz w:val="22"/>
          <w:szCs w:val="22"/>
        </w:rPr>
        <w:t xml:space="preserve">                                                                           </w:t>
      </w:r>
      <w:r w:rsidR="001F433F" w:rsidRPr="00906CB0">
        <w:rPr>
          <w:sz w:val="22"/>
          <w:szCs w:val="22"/>
        </w:rPr>
        <w:t xml:space="preserve">                </w:t>
      </w:r>
      <w:r w:rsidR="0030293E" w:rsidRPr="00906CB0">
        <w:rPr>
          <w:sz w:val="22"/>
          <w:szCs w:val="22"/>
        </w:rPr>
        <w:t>OIB</w:t>
      </w:r>
      <w:r w:rsidR="001F433F" w:rsidRPr="00906CB0">
        <w:rPr>
          <w:sz w:val="22"/>
          <w:szCs w:val="22"/>
        </w:rPr>
        <w:t>:</w:t>
      </w:r>
      <w:r w:rsidR="0030293E" w:rsidRPr="00906CB0">
        <w:rPr>
          <w:sz w:val="22"/>
          <w:szCs w:val="22"/>
        </w:rPr>
        <w:t xml:space="preserve"> 01951413656</w:t>
      </w:r>
    </w:p>
    <w:p w:rsidR="00805B21" w:rsidRPr="00CB53F1" w:rsidRDefault="00841FB4" w:rsidP="00CB53F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E5753" w:rsidRPr="00906CB0">
        <w:rPr>
          <w:sz w:val="22"/>
          <w:szCs w:val="22"/>
        </w:rPr>
        <w:t xml:space="preserve"> </w:t>
      </w:r>
    </w:p>
    <w:p w:rsidR="00F848D7" w:rsidRPr="00906CB0" w:rsidRDefault="00AE5753" w:rsidP="006C7698">
      <w:pPr>
        <w:contextualSpacing/>
        <w:jc w:val="center"/>
        <w:outlineLvl w:val="0"/>
        <w:rPr>
          <w:b/>
          <w:sz w:val="22"/>
          <w:szCs w:val="22"/>
        </w:rPr>
      </w:pPr>
      <w:r w:rsidRPr="00906CB0">
        <w:rPr>
          <w:b/>
          <w:sz w:val="22"/>
          <w:szCs w:val="22"/>
        </w:rPr>
        <w:t>BILJEŠKE UZ FINANCIJSKE</w:t>
      </w:r>
      <w:r w:rsidR="00F848D7" w:rsidRPr="00906CB0">
        <w:rPr>
          <w:b/>
          <w:sz w:val="22"/>
          <w:szCs w:val="22"/>
        </w:rPr>
        <w:t xml:space="preserve"> </w:t>
      </w:r>
      <w:r w:rsidRPr="00906CB0">
        <w:rPr>
          <w:b/>
          <w:sz w:val="22"/>
          <w:szCs w:val="22"/>
        </w:rPr>
        <w:t>IZVJEŠTAJE ZA RAZDOBLJE</w:t>
      </w:r>
    </w:p>
    <w:p w:rsidR="00F848D7" w:rsidRPr="00906CB0" w:rsidRDefault="001F433F" w:rsidP="001F433F">
      <w:pPr>
        <w:contextualSpacing/>
        <w:jc w:val="center"/>
        <w:rPr>
          <w:b/>
          <w:sz w:val="22"/>
          <w:szCs w:val="22"/>
        </w:rPr>
      </w:pPr>
      <w:r w:rsidRPr="00906CB0">
        <w:rPr>
          <w:b/>
          <w:sz w:val="22"/>
          <w:szCs w:val="22"/>
        </w:rPr>
        <w:t>01.</w:t>
      </w:r>
      <w:r w:rsidR="00462AF8" w:rsidRPr="00906CB0">
        <w:rPr>
          <w:b/>
          <w:sz w:val="22"/>
          <w:szCs w:val="22"/>
        </w:rPr>
        <w:t>01.</w:t>
      </w:r>
      <w:r w:rsidR="00EB618C">
        <w:rPr>
          <w:b/>
          <w:sz w:val="22"/>
          <w:szCs w:val="22"/>
        </w:rPr>
        <w:t>2023</w:t>
      </w:r>
      <w:r w:rsidR="00F060BB" w:rsidRPr="00906CB0">
        <w:rPr>
          <w:b/>
          <w:sz w:val="22"/>
          <w:szCs w:val="22"/>
        </w:rPr>
        <w:t xml:space="preserve">. – </w:t>
      </w:r>
      <w:r w:rsidR="00B143F1">
        <w:rPr>
          <w:b/>
          <w:sz w:val="22"/>
          <w:szCs w:val="22"/>
        </w:rPr>
        <w:t>31</w:t>
      </w:r>
      <w:r w:rsidR="00F060BB" w:rsidRPr="00906CB0">
        <w:rPr>
          <w:b/>
          <w:sz w:val="22"/>
          <w:szCs w:val="22"/>
        </w:rPr>
        <w:t>.</w:t>
      </w:r>
      <w:r w:rsidR="00B143F1">
        <w:rPr>
          <w:b/>
          <w:sz w:val="22"/>
          <w:szCs w:val="22"/>
        </w:rPr>
        <w:t>12</w:t>
      </w:r>
      <w:r w:rsidR="00F060BB" w:rsidRPr="00906CB0">
        <w:rPr>
          <w:b/>
          <w:sz w:val="22"/>
          <w:szCs w:val="22"/>
        </w:rPr>
        <w:t>.</w:t>
      </w:r>
      <w:r w:rsidR="00EB618C">
        <w:rPr>
          <w:b/>
          <w:sz w:val="22"/>
          <w:szCs w:val="22"/>
        </w:rPr>
        <w:t>2023</w:t>
      </w:r>
      <w:r w:rsidR="00F060BB" w:rsidRPr="00906CB0">
        <w:rPr>
          <w:b/>
          <w:sz w:val="22"/>
          <w:szCs w:val="22"/>
        </w:rPr>
        <w:t xml:space="preserve">. </w:t>
      </w:r>
    </w:p>
    <w:p w:rsidR="00AE5753" w:rsidRPr="00906CB0" w:rsidRDefault="00AE5753" w:rsidP="001F433F">
      <w:pPr>
        <w:contextualSpacing/>
        <w:jc w:val="center"/>
        <w:rPr>
          <w:b/>
          <w:sz w:val="22"/>
          <w:szCs w:val="22"/>
        </w:rPr>
      </w:pPr>
    </w:p>
    <w:p w:rsidR="00AE5753" w:rsidRPr="00906CB0" w:rsidRDefault="00AE5753" w:rsidP="002E7F01">
      <w:pPr>
        <w:contextualSpacing/>
        <w:jc w:val="both"/>
        <w:rPr>
          <w:sz w:val="22"/>
          <w:szCs w:val="22"/>
        </w:rPr>
      </w:pPr>
      <w:r w:rsidRPr="00906CB0">
        <w:rPr>
          <w:sz w:val="22"/>
          <w:szCs w:val="22"/>
        </w:rPr>
        <w:t>Na temelju podataka iz računovodstva sastavljeni su fina</w:t>
      </w:r>
      <w:r w:rsidR="001B45DC">
        <w:rPr>
          <w:sz w:val="22"/>
          <w:szCs w:val="22"/>
        </w:rPr>
        <w:t xml:space="preserve">ncijski izvještaji </w:t>
      </w:r>
      <w:r w:rsidR="00EB618C">
        <w:rPr>
          <w:sz w:val="22"/>
          <w:szCs w:val="22"/>
        </w:rPr>
        <w:t>verzija 8.1</w:t>
      </w:r>
      <w:r w:rsidR="00B8413D">
        <w:rPr>
          <w:sz w:val="22"/>
          <w:szCs w:val="22"/>
        </w:rPr>
        <w:t>.3</w:t>
      </w:r>
      <w:r w:rsidRPr="00906CB0">
        <w:rPr>
          <w:sz w:val="22"/>
          <w:szCs w:val="22"/>
        </w:rPr>
        <w:t xml:space="preserve">. za </w:t>
      </w:r>
      <w:r w:rsidR="00CB53F1">
        <w:rPr>
          <w:sz w:val="22"/>
          <w:szCs w:val="22"/>
        </w:rPr>
        <w:t xml:space="preserve">razdoblje 01.01. do </w:t>
      </w:r>
      <w:r w:rsidR="00B143F1">
        <w:rPr>
          <w:sz w:val="22"/>
          <w:szCs w:val="22"/>
        </w:rPr>
        <w:t>31</w:t>
      </w:r>
      <w:r w:rsidR="008C33BB" w:rsidRPr="00906CB0">
        <w:rPr>
          <w:sz w:val="22"/>
          <w:szCs w:val="22"/>
        </w:rPr>
        <w:t>.</w:t>
      </w:r>
      <w:r w:rsidR="00B143F1">
        <w:rPr>
          <w:sz w:val="22"/>
          <w:szCs w:val="22"/>
        </w:rPr>
        <w:t>12</w:t>
      </w:r>
      <w:r w:rsidR="008C33BB" w:rsidRPr="00906CB0">
        <w:rPr>
          <w:sz w:val="22"/>
          <w:szCs w:val="22"/>
        </w:rPr>
        <w:t>.</w:t>
      </w:r>
      <w:r w:rsidR="00EB618C">
        <w:rPr>
          <w:sz w:val="22"/>
          <w:szCs w:val="22"/>
        </w:rPr>
        <w:t>2023</w:t>
      </w:r>
      <w:r w:rsidR="008C33BB" w:rsidRPr="00906CB0">
        <w:rPr>
          <w:sz w:val="22"/>
          <w:szCs w:val="22"/>
        </w:rPr>
        <w:t>. godine (</w:t>
      </w:r>
      <w:r w:rsidR="00B143F1">
        <w:rPr>
          <w:sz w:val="22"/>
          <w:szCs w:val="22"/>
        </w:rPr>
        <w:t>Bilanca, Izvještaj o prihodima i rashodima, primicima i izdacima, izvještaj o rashodima prema funkcijskoj klasifikaciji, Izvještaj o obvezama)</w:t>
      </w:r>
    </w:p>
    <w:p w:rsidR="00C81E2F" w:rsidRPr="00B8413D" w:rsidRDefault="00AE5753" w:rsidP="002E7F01">
      <w:pPr>
        <w:pStyle w:val="Naslov1"/>
        <w:shd w:val="clear" w:color="auto" w:fill="FFFFFF"/>
        <w:spacing w:before="0" w:beforeAutospacing="0"/>
        <w:jc w:val="both"/>
        <w:rPr>
          <w:b w:val="0"/>
          <w:sz w:val="22"/>
          <w:szCs w:val="22"/>
        </w:rPr>
      </w:pPr>
      <w:r w:rsidRPr="00B8413D">
        <w:rPr>
          <w:b w:val="0"/>
          <w:sz w:val="22"/>
          <w:szCs w:val="22"/>
        </w:rPr>
        <w:t xml:space="preserve">Obrasci su dostavljeni u propisanom roku, do </w:t>
      </w:r>
      <w:r w:rsidR="00B143F1">
        <w:rPr>
          <w:b w:val="0"/>
          <w:sz w:val="22"/>
          <w:szCs w:val="22"/>
        </w:rPr>
        <w:t>15</w:t>
      </w:r>
      <w:r w:rsidR="001B45DC" w:rsidRPr="00B8413D">
        <w:rPr>
          <w:b w:val="0"/>
          <w:sz w:val="22"/>
          <w:szCs w:val="22"/>
        </w:rPr>
        <w:t xml:space="preserve">. </w:t>
      </w:r>
      <w:r w:rsidR="00B143F1">
        <w:rPr>
          <w:b w:val="0"/>
          <w:sz w:val="22"/>
          <w:szCs w:val="22"/>
        </w:rPr>
        <w:t>veljače</w:t>
      </w:r>
      <w:r w:rsidR="001B45DC" w:rsidRPr="00B8413D">
        <w:rPr>
          <w:b w:val="0"/>
          <w:sz w:val="22"/>
          <w:szCs w:val="22"/>
        </w:rPr>
        <w:t xml:space="preserve"> </w:t>
      </w:r>
      <w:r w:rsidR="00EB618C">
        <w:rPr>
          <w:b w:val="0"/>
          <w:sz w:val="22"/>
          <w:szCs w:val="22"/>
        </w:rPr>
        <w:t>2024</w:t>
      </w:r>
      <w:r w:rsidR="001B45DC" w:rsidRPr="00B8413D">
        <w:rPr>
          <w:b w:val="0"/>
          <w:sz w:val="22"/>
          <w:szCs w:val="22"/>
        </w:rPr>
        <w:t>. godine putem sustava RKPF</w:t>
      </w:r>
      <w:r w:rsidR="00EB618C">
        <w:rPr>
          <w:b w:val="0"/>
          <w:sz w:val="22"/>
          <w:szCs w:val="22"/>
        </w:rPr>
        <w:t>I</w:t>
      </w:r>
      <w:r w:rsidR="00B8413D" w:rsidRPr="00B8413D">
        <w:rPr>
          <w:b w:val="0"/>
          <w:sz w:val="22"/>
          <w:szCs w:val="22"/>
        </w:rPr>
        <w:t>, a sve u skladu s Okružnicom Ministar</w:t>
      </w:r>
      <w:r w:rsidR="00EB618C">
        <w:rPr>
          <w:b w:val="0"/>
          <w:sz w:val="22"/>
          <w:szCs w:val="22"/>
        </w:rPr>
        <w:t>stva financija (KLASA: 400-02/23-01/27</w:t>
      </w:r>
      <w:r w:rsidR="00B8413D" w:rsidRPr="00B8413D">
        <w:rPr>
          <w:b w:val="0"/>
          <w:sz w:val="22"/>
          <w:szCs w:val="22"/>
        </w:rPr>
        <w:t>, URBROJ: 513-05-03-</w:t>
      </w:r>
      <w:r w:rsidR="00EB618C">
        <w:rPr>
          <w:b w:val="0"/>
          <w:sz w:val="22"/>
          <w:szCs w:val="22"/>
        </w:rPr>
        <w:t>24-4</w:t>
      </w:r>
      <w:r w:rsidR="00B8413D" w:rsidRPr="00B8413D">
        <w:rPr>
          <w:b w:val="0"/>
          <w:sz w:val="22"/>
          <w:szCs w:val="22"/>
        </w:rPr>
        <w:t xml:space="preserve">) od </w:t>
      </w:r>
      <w:r w:rsidR="00EB618C">
        <w:rPr>
          <w:b w:val="0"/>
          <w:sz w:val="22"/>
          <w:szCs w:val="22"/>
        </w:rPr>
        <w:t>10. siječnja 2024.</w:t>
      </w:r>
    </w:p>
    <w:p w:rsidR="00282D00" w:rsidRDefault="001B45DC" w:rsidP="007B50E9">
      <w:pPr>
        <w:contextualSpacing/>
        <w:jc w:val="both"/>
        <w:rPr>
          <w:sz w:val="22"/>
          <w:szCs w:val="22"/>
        </w:rPr>
      </w:pPr>
      <w:r>
        <w:rPr>
          <w:sz w:val="22"/>
          <w:szCs w:val="22"/>
        </w:rPr>
        <w:t>Općina Vratišinec nema proračunskog korisnika.</w:t>
      </w:r>
    </w:p>
    <w:p w:rsidR="001B45DC" w:rsidRPr="00906CB0" w:rsidRDefault="001B45DC" w:rsidP="00DE6BD7">
      <w:pPr>
        <w:jc w:val="both"/>
        <w:outlineLvl w:val="0"/>
        <w:rPr>
          <w:sz w:val="22"/>
          <w:szCs w:val="22"/>
        </w:rPr>
      </w:pPr>
    </w:p>
    <w:p w:rsidR="00282D00" w:rsidRDefault="00282D00" w:rsidP="00DE6BD7">
      <w:pPr>
        <w:pStyle w:val="Odlomakpopisa"/>
        <w:numPr>
          <w:ilvl w:val="0"/>
          <w:numId w:val="5"/>
        </w:numPr>
        <w:jc w:val="both"/>
        <w:outlineLvl w:val="0"/>
        <w:rPr>
          <w:b/>
          <w:sz w:val="22"/>
          <w:szCs w:val="22"/>
        </w:rPr>
      </w:pPr>
      <w:r w:rsidRPr="00906CB0">
        <w:rPr>
          <w:b/>
          <w:sz w:val="22"/>
          <w:szCs w:val="22"/>
        </w:rPr>
        <w:t>Bilješke uz obrazac OBVEZE</w:t>
      </w:r>
    </w:p>
    <w:p w:rsidR="001B45DC" w:rsidRDefault="001B45DC" w:rsidP="001B45DC">
      <w:pPr>
        <w:jc w:val="both"/>
        <w:outlineLvl w:val="0"/>
        <w:rPr>
          <w:b/>
          <w:sz w:val="22"/>
          <w:szCs w:val="22"/>
        </w:rPr>
      </w:pPr>
    </w:p>
    <w:p w:rsidR="00EB618C" w:rsidRDefault="00EB618C" w:rsidP="005912AD">
      <w:pPr>
        <w:jc w:val="both"/>
        <w:outlineLvl w:val="0"/>
        <w:rPr>
          <w:sz w:val="22"/>
          <w:szCs w:val="22"/>
        </w:rPr>
      </w:pPr>
    </w:p>
    <w:p w:rsidR="00EB618C" w:rsidRDefault="00EB618C" w:rsidP="005912AD">
      <w:pPr>
        <w:jc w:val="both"/>
        <w:outlineLvl w:val="0"/>
        <w:rPr>
          <w:sz w:val="22"/>
          <w:szCs w:val="22"/>
        </w:rPr>
      </w:pPr>
      <w:r>
        <w:rPr>
          <w:sz w:val="22"/>
          <w:szCs w:val="22"/>
        </w:rPr>
        <w:t xml:space="preserve">Stanje obveza 1.1.2024. su </w:t>
      </w:r>
      <w:r w:rsidRPr="00C42E63">
        <w:rPr>
          <w:b/>
          <w:sz w:val="22"/>
          <w:szCs w:val="22"/>
        </w:rPr>
        <w:t>54.867,64 EUR</w:t>
      </w:r>
      <w:r>
        <w:rPr>
          <w:sz w:val="22"/>
          <w:szCs w:val="22"/>
        </w:rPr>
        <w:t xml:space="preserve">. U razdoblju od 02.01.2024. do 31.12.2024. godine povećanje obveza u iznosu od 948.578,25 EUR, a podmirenje obveza u istome periodu 964.159,93 EUR što na kraju izvještajnog razdoblja odnosno na dan 31.12.2024. godine iznosi </w:t>
      </w:r>
      <w:r w:rsidRPr="00036416">
        <w:rPr>
          <w:b/>
          <w:sz w:val="22"/>
          <w:szCs w:val="22"/>
        </w:rPr>
        <w:t>39.285,96 EUR</w:t>
      </w:r>
      <w:r>
        <w:rPr>
          <w:sz w:val="22"/>
          <w:szCs w:val="22"/>
        </w:rPr>
        <w:t xml:space="preserve">. </w:t>
      </w:r>
    </w:p>
    <w:p w:rsidR="00EB618C" w:rsidRDefault="00EB618C" w:rsidP="005912AD">
      <w:pPr>
        <w:jc w:val="both"/>
        <w:outlineLvl w:val="0"/>
        <w:rPr>
          <w:sz w:val="22"/>
          <w:szCs w:val="22"/>
        </w:rPr>
      </w:pPr>
    </w:p>
    <w:p w:rsidR="00EB618C" w:rsidRDefault="00EB618C" w:rsidP="00C42E63">
      <w:pPr>
        <w:pStyle w:val="Odlomakpopisa"/>
        <w:numPr>
          <w:ilvl w:val="0"/>
          <w:numId w:val="19"/>
        </w:numPr>
        <w:jc w:val="both"/>
        <w:outlineLvl w:val="0"/>
        <w:rPr>
          <w:sz w:val="22"/>
          <w:szCs w:val="22"/>
        </w:rPr>
      </w:pPr>
      <w:r w:rsidRPr="00C42E63">
        <w:rPr>
          <w:sz w:val="22"/>
          <w:szCs w:val="22"/>
        </w:rPr>
        <w:t xml:space="preserve">Stanje dospjelih </w:t>
      </w:r>
      <w:r w:rsidR="00C42E63" w:rsidRPr="00C42E63">
        <w:rPr>
          <w:sz w:val="22"/>
          <w:szCs w:val="22"/>
        </w:rPr>
        <w:t xml:space="preserve">obveza na kraju izvještajnog razdoblja: </w:t>
      </w:r>
      <w:r w:rsidR="00C42E63" w:rsidRPr="00C42E63">
        <w:rPr>
          <w:b/>
          <w:sz w:val="22"/>
          <w:szCs w:val="22"/>
        </w:rPr>
        <w:t>11.043,79 EUR</w:t>
      </w:r>
    </w:p>
    <w:p w:rsidR="00C42E63" w:rsidRDefault="00C42E63" w:rsidP="00C42E63">
      <w:pPr>
        <w:pStyle w:val="Odlomakpopisa"/>
        <w:numPr>
          <w:ilvl w:val="0"/>
          <w:numId w:val="20"/>
        </w:numPr>
        <w:jc w:val="both"/>
        <w:outlineLvl w:val="0"/>
        <w:rPr>
          <w:sz w:val="22"/>
          <w:szCs w:val="22"/>
        </w:rPr>
      </w:pPr>
      <w:r>
        <w:rPr>
          <w:sz w:val="22"/>
          <w:szCs w:val="22"/>
        </w:rPr>
        <w:t>Dobavljači: Remenar d.o.o. – 83,45 EUR (0-60 dana)</w:t>
      </w:r>
    </w:p>
    <w:p w:rsidR="00C42E63" w:rsidRDefault="00C42E63" w:rsidP="00C42E63">
      <w:pPr>
        <w:pStyle w:val="Odlomakpopisa"/>
        <w:numPr>
          <w:ilvl w:val="0"/>
          <w:numId w:val="20"/>
        </w:numPr>
        <w:jc w:val="both"/>
        <w:outlineLvl w:val="0"/>
        <w:rPr>
          <w:sz w:val="22"/>
          <w:szCs w:val="22"/>
        </w:rPr>
      </w:pPr>
      <w:r>
        <w:rPr>
          <w:sz w:val="22"/>
          <w:szCs w:val="22"/>
        </w:rPr>
        <w:t>Dug županiji – legalizacija – 184,58 EUR (preko 360 dana)</w:t>
      </w:r>
    </w:p>
    <w:p w:rsidR="00C42E63" w:rsidRDefault="00C42E63" w:rsidP="00C42E63">
      <w:pPr>
        <w:pStyle w:val="Odlomakpopisa"/>
        <w:numPr>
          <w:ilvl w:val="0"/>
          <w:numId w:val="20"/>
        </w:numPr>
        <w:jc w:val="both"/>
        <w:outlineLvl w:val="0"/>
        <w:rPr>
          <w:sz w:val="22"/>
          <w:szCs w:val="22"/>
        </w:rPr>
      </w:pPr>
      <w:r>
        <w:rPr>
          <w:sz w:val="22"/>
          <w:szCs w:val="22"/>
        </w:rPr>
        <w:t>Jamčevine – 1.205,29 EUR (preko 360 dana)</w:t>
      </w:r>
    </w:p>
    <w:p w:rsidR="00C42E63" w:rsidRPr="00C42E63" w:rsidRDefault="00C42E63" w:rsidP="00C42E63">
      <w:pPr>
        <w:pStyle w:val="Odlomakpopisa"/>
        <w:numPr>
          <w:ilvl w:val="0"/>
          <w:numId w:val="20"/>
        </w:numPr>
        <w:jc w:val="both"/>
        <w:outlineLvl w:val="0"/>
        <w:rPr>
          <w:sz w:val="22"/>
          <w:szCs w:val="22"/>
        </w:rPr>
      </w:pPr>
      <w:r>
        <w:rPr>
          <w:sz w:val="22"/>
          <w:szCs w:val="22"/>
        </w:rPr>
        <w:t>Hrvatske vode – 9.570,47 EUR (181 do 360 dana)</w:t>
      </w:r>
    </w:p>
    <w:p w:rsidR="00C42E63" w:rsidRDefault="00C42E63" w:rsidP="005912AD">
      <w:pPr>
        <w:jc w:val="both"/>
        <w:outlineLvl w:val="0"/>
        <w:rPr>
          <w:sz w:val="22"/>
          <w:szCs w:val="22"/>
        </w:rPr>
      </w:pPr>
    </w:p>
    <w:p w:rsidR="00C42E63" w:rsidRDefault="00C42E63" w:rsidP="005912AD">
      <w:pPr>
        <w:jc w:val="both"/>
        <w:outlineLvl w:val="0"/>
        <w:rPr>
          <w:sz w:val="22"/>
          <w:szCs w:val="22"/>
        </w:rPr>
      </w:pPr>
    </w:p>
    <w:p w:rsidR="00C42E63" w:rsidRPr="00C42E63" w:rsidRDefault="00C42E63" w:rsidP="00C42E63">
      <w:pPr>
        <w:pStyle w:val="Odlomakpopisa"/>
        <w:numPr>
          <w:ilvl w:val="0"/>
          <w:numId w:val="19"/>
        </w:numPr>
        <w:jc w:val="both"/>
        <w:outlineLvl w:val="0"/>
        <w:rPr>
          <w:sz w:val="22"/>
          <w:szCs w:val="22"/>
        </w:rPr>
      </w:pPr>
      <w:r w:rsidRPr="00C42E63">
        <w:rPr>
          <w:sz w:val="22"/>
          <w:szCs w:val="22"/>
        </w:rPr>
        <w:t xml:space="preserve">Stanje nedospjelih obveza na kraju izvještajnog razdoblja: </w:t>
      </w:r>
      <w:r w:rsidRPr="00C42E63">
        <w:rPr>
          <w:b/>
          <w:sz w:val="22"/>
          <w:szCs w:val="22"/>
        </w:rPr>
        <w:t>28.242,17 EUR</w:t>
      </w:r>
    </w:p>
    <w:p w:rsidR="00C42E63" w:rsidRDefault="00C42E63" w:rsidP="00C42E63">
      <w:pPr>
        <w:pStyle w:val="Odlomakpopisa"/>
        <w:numPr>
          <w:ilvl w:val="0"/>
          <w:numId w:val="20"/>
        </w:numPr>
        <w:jc w:val="both"/>
        <w:outlineLvl w:val="0"/>
        <w:rPr>
          <w:sz w:val="22"/>
          <w:szCs w:val="22"/>
        </w:rPr>
      </w:pPr>
      <w:r w:rsidRPr="00C42E63">
        <w:rPr>
          <w:sz w:val="22"/>
          <w:szCs w:val="22"/>
        </w:rPr>
        <w:t>Dobavljači: 15.467,10 EUR</w:t>
      </w:r>
    </w:p>
    <w:p w:rsidR="00C42E63" w:rsidRDefault="00C42E63" w:rsidP="00C42E63">
      <w:pPr>
        <w:pStyle w:val="Odlomakpopisa"/>
        <w:numPr>
          <w:ilvl w:val="0"/>
          <w:numId w:val="20"/>
        </w:numPr>
        <w:jc w:val="both"/>
        <w:outlineLvl w:val="0"/>
        <w:rPr>
          <w:sz w:val="22"/>
          <w:szCs w:val="22"/>
        </w:rPr>
      </w:pPr>
      <w:r>
        <w:rPr>
          <w:sz w:val="22"/>
          <w:szCs w:val="22"/>
        </w:rPr>
        <w:t>Obveze za zaposlene za 12/23 – 6.187,04 EUR (plaća)</w:t>
      </w:r>
    </w:p>
    <w:p w:rsidR="00C42E63" w:rsidRDefault="00C42E63" w:rsidP="00C42E63">
      <w:pPr>
        <w:pStyle w:val="Odlomakpopisa"/>
        <w:numPr>
          <w:ilvl w:val="0"/>
          <w:numId w:val="20"/>
        </w:numPr>
        <w:jc w:val="both"/>
        <w:outlineLvl w:val="0"/>
        <w:rPr>
          <w:sz w:val="22"/>
          <w:szCs w:val="22"/>
        </w:rPr>
      </w:pPr>
      <w:r>
        <w:rPr>
          <w:sz w:val="22"/>
          <w:szCs w:val="22"/>
        </w:rPr>
        <w:t>Putni trošak načelnika i djelatnika za 12/23 – 427,74 EUR,</w:t>
      </w:r>
    </w:p>
    <w:p w:rsidR="00C42E63" w:rsidRDefault="00C42E63" w:rsidP="00C42E63">
      <w:pPr>
        <w:pStyle w:val="Odlomakpopisa"/>
        <w:numPr>
          <w:ilvl w:val="0"/>
          <w:numId w:val="20"/>
        </w:numPr>
        <w:jc w:val="both"/>
        <w:outlineLvl w:val="0"/>
        <w:rPr>
          <w:sz w:val="22"/>
          <w:szCs w:val="22"/>
        </w:rPr>
      </w:pPr>
      <w:r>
        <w:rPr>
          <w:sz w:val="22"/>
          <w:szCs w:val="22"/>
        </w:rPr>
        <w:t>Korištenje automobila u službene svrhe 12/23 – 228,40 EUR,</w:t>
      </w:r>
    </w:p>
    <w:p w:rsidR="00C42E63" w:rsidRDefault="00C42E63" w:rsidP="00C42E63">
      <w:pPr>
        <w:pStyle w:val="Odlomakpopisa"/>
        <w:numPr>
          <w:ilvl w:val="0"/>
          <w:numId w:val="20"/>
        </w:numPr>
        <w:jc w:val="both"/>
        <w:outlineLvl w:val="0"/>
        <w:rPr>
          <w:sz w:val="22"/>
          <w:szCs w:val="22"/>
        </w:rPr>
      </w:pPr>
      <w:r>
        <w:rPr>
          <w:sz w:val="22"/>
          <w:szCs w:val="22"/>
        </w:rPr>
        <w:t>Naknada za predsjednicu vijeća za 12/23 – 148,62 EUR</w:t>
      </w:r>
    </w:p>
    <w:p w:rsidR="00C42E63" w:rsidRDefault="00C42E63" w:rsidP="00C42E63">
      <w:pPr>
        <w:pStyle w:val="Odlomakpopisa"/>
        <w:numPr>
          <w:ilvl w:val="0"/>
          <w:numId w:val="20"/>
        </w:numPr>
        <w:jc w:val="both"/>
        <w:outlineLvl w:val="0"/>
        <w:rPr>
          <w:sz w:val="22"/>
          <w:szCs w:val="22"/>
        </w:rPr>
      </w:pPr>
      <w:r>
        <w:rPr>
          <w:sz w:val="22"/>
          <w:szCs w:val="22"/>
        </w:rPr>
        <w:t xml:space="preserve">Jamčevina MEGA DRVO d.o.o. za natječaj </w:t>
      </w:r>
      <w:r w:rsidR="003E2715">
        <w:rPr>
          <w:sz w:val="22"/>
          <w:szCs w:val="22"/>
        </w:rPr>
        <w:t xml:space="preserve">za prodaju nekretnina </w:t>
      </w:r>
      <w:r>
        <w:rPr>
          <w:sz w:val="22"/>
          <w:szCs w:val="22"/>
        </w:rPr>
        <w:t>iz prosinca 2023. – 5.539,23 EUR,</w:t>
      </w:r>
    </w:p>
    <w:p w:rsidR="00C42E63" w:rsidRDefault="00C42E63" w:rsidP="00C42E63">
      <w:pPr>
        <w:pStyle w:val="Odlomakpopisa"/>
        <w:numPr>
          <w:ilvl w:val="0"/>
          <w:numId w:val="20"/>
        </w:numPr>
        <w:jc w:val="both"/>
        <w:outlineLvl w:val="0"/>
        <w:rPr>
          <w:sz w:val="22"/>
          <w:szCs w:val="22"/>
        </w:rPr>
      </w:pPr>
      <w:r>
        <w:rPr>
          <w:sz w:val="22"/>
          <w:szCs w:val="22"/>
        </w:rPr>
        <w:t>Javni radovi 12/23 – 244,04 EUR</w:t>
      </w:r>
    </w:p>
    <w:p w:rsidR="00C42E63" w:rsidRDefault="00C42E63" w:rsidP="00C42E63">
      <w:pPr>
        <w:jc w:val="both"/>
        <w:outlineLvl w:val="0"/>
        <w:rPr>
          <w:sz w:val="22"/>
          <w:szCs w:val="22"/>
        </w:rPr>
      </w:pPr>
    </w:p>
    <w:p w:rsidR="00C42E63" w:rsidRDefault="00C42E63" w:rsidP="00C42E63">
      <w:pPr>
        <w:jc w:val="both"/>
        <w:outlineLvl w:val="0"/>
        <w:rPr>
          <w:sz w:val="22"/>
          <w:szCs w:val="22"/>
        </w:rPr>
      </w:pPr>
    </w:p>
    <w:p w:rsidR="00C42E63" w:rsidRDefault="00C42E63" w:rsidP="00C42E63">
      <w:pPr>
        <w:jc w:val="both"/>
        <w:outlineLvl w:val="0"/>
        <w:rPr>
          <w:sz w:val="22"/>
          <w:szCs w:val="22"/>
        </w:rPr>
      </w:pPr>
    </w:p>
    <w:p w:rsidR="00C42E63" w:rsidRDefault="00C42E63" w:rsidP="00C42E63">
      <w:pPr>
        <w:jc w:val="both"/>
        <w:outlineLvl w:val="0"/>
        <w:rPr>
          <w:sz w:val="22"/>
          <w:szCs w:val="22"/>
        </w:rPr>
      </w:pPr>
    </w:p>
    <w:p w:rsidR="00C42E63" w:rsidRDefault="00C42E63" w:rsidP="00C42E63">
      <w:pPr>
        <w:jc w:val="both"/>
        <w:outlineLvl w:val="0"/>
        <w:rPr>
          <w:sz w:val="22"/>
          <w:szCs w:val="22"/>
        </w:rPr>
      </w:pPr>
    </w:p>
    <w:p w:rsidR="00C42E63" w:rsidRDefault="00C42E63" w:rsidP="00C42E63">
      <w:pPr>
        <w:jc w:val="both"/>
        <w:outlineLvl w:val="0"/>
        <w:rPr>
          <w:sz w:val="22"/>
          <w:szCs w:val="22"/>
        </w:rPr>
      </w:pPr>
      <w:r>
        <w:rPr>
          <w:noProof/>
          <w:sz w:val="22"/>
          <w:szCs w:val="22"/>
        </w:rPr>
        <w:drawing>
          <wp:inline distT="0" distB="0" distL="0" distR="0">
            <wp:extent cx="5748655" cy="3562350"/>
            <wp:effectExtent l="0" t="0" r="444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8655" cy="3562350"/>
                    </a:xfrm>
                    <a:prstGeom prst="rect">
                      <a:avLst/>
                    </a:prstGeom>
                    <a:noFill/>
                    <a:ln>
                      <a:noFill/>
                    </a:ln>
                  </pic:spPr>
                </pic:pic>
              </a:graphicData>
            </a:graphic>
          </wp:inline>
        </w:drawing>
      </w:r>
    </w:p>
    <w:p w:rsidR="00C42E63" w:rsidRDefault="00C42E63" w:rsidP="00C42E63">
      <w:pPr>
        <w:jc w:val="both"/>
        <w:outlineLvl w:val="0"/>
        <w:rPr>
          <w:sz w:val="22"/>
          <w:szCs w:val="22"/>
        </w:rPr>
      </w:pPr>
    </w:p>
    <w:p w:rsidR="00C42E63" w:rsidRDefault="00C42E63" w:rsidP="00C42E63">
      <w:pPr>
        <w:jc w:val="both"/>
        <w:outlineLvl w:val="0"/>
        <w:rPr>
          <w:sz w:val="22"/>
          <w:szCs w:val="22"/>
        </w:rPr>
      </w:pPr>
    </w:p>
    <w:p w:rsidR="00C42E63" w:rsidRDefault="00C42E63" w:rsidP="00C42E63">
      <w:pPr>
        <w:jc w:val="both"/>
        <w:outlineLvl w:val="0"/>
        <w:rPr>
          <w:sz w:val="22"/>
          <w:szCs w:val="22"/>
        </w:rPr>
      </w:pPr>
      <w:r>
        <w:rPr>
          <w:noProof/>
          <w:sz w:val="22"/>
          <w:szCs w:val="22"/>
        </w:rPr>
        <w:drawing>
          <wp:inline distT="0" distB="0" distL="0" distR="0">
            <wp:extent cx="5756910" cy="278320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6910" cy="2783205"/>
                    </a:xfrm>
                    <a:prstGeom prst="rect">
                      <a:avLst/>
                    </a:prstGeom>
                    <a:noFill/>
                    <a:ln>
                      <a:noFill/>
                    </a:ln>
                  </pic:spPr>
                </pic:pic>
              </a:graphicData>
            </a:graphic>
          </wp:inline>
        </w:drawing>
      </w:r>
    </w:p>
    <w:p w:rsidR="00C42E63" w:rsidRDefault="00C42E63" w:rsidP="00C42E63">
      <w:pPr>
        <w:jc w:val="both"/>
        <w:outlineLvl w:val="0"/>
        <w:rPr>
          <w:sz w:val="22"/>
          <w:szCs w:val="22"/>
        </w:rPr>
      </w:pPr>
    </w:p>
    <w:p w:rsidR="00C42E63" w:rsidRPr="00C42E63" w:rsidRDefault="00C42E63" w:rsidP="00C42E63">
      <w:pPr>
        <w:jc w:val="both"/>
        <w:outlineLvl w:val="0"/>
        <w:rPr>
          <w:sz w:val="22"/>
          <w:szCs w:val="22"/>
        </w:rPr>
      </w:pPr>
    </w:p>
    <w:p w:rsidR="00C42E63" w:rsidRPr="00C42E63" w:rsidRDefault="00C42E63" w:rsidP="00C42E63">
      <w:pPr>
        <w:jc w:val="both"/>
        <w:outlineLvl w:val="0"/>
        <w:rPr>
          <w:sz w:val="22"/>
          <w:szCs w:val="22"/>
        </w:rPr>
      </w:pPr>
    </w:p>
    <w:p w:rsidR="00EB618C" w:rsidRDefault="00EB618C" w:rsidP="005912AD">
      <w:pPr>
        <w:jc w:val="both"/>
        <w:outlineLvl w:val="0"/>
        <w:rPr>
          <w:sz w:val="22"/>
          <w:szCs w:val="22"/>
        </w:rPr>
      </w:pPr>
    </w:p>
    <w:p w:rsidR="00EB618C" w:rsidRDefault="00EB618C" w:rsidP="005912AD">
      <w:pPr>
        <w:jc w:val="both"/>
        <w:outlineLvl w:val="0"/>
        <w:rPr>
          <w:sz w:val="22"/>
          <w:szCs w:val="22"/>
        </w:rPr>
      </w:pPr>
    </w:p>
    <w:p w:rsidR="00EB618C" w:rsidRDefault="00EB618C" w:rsidP="005912AD">
      <w:pPr>
        <w:jc w:val="both"/>
        <w:outlineLvl w:val="0"/>
        <w:rPr>
          <w:sz w:val="22"/>
          <w:szCs w:val="22"/>
        </w:rPr>
      </w:pPr>
    </w:p>
    <w:p w:rsidR="00EB618C" w:rsidRDefault="00EB618C" w:rsidP="005912AD">
      <w:pPr>
        <w:jc w:val="both"/>
        <w:outlineLvl w:val="0"/>
        <w:rPr>
          <w:sz w:val="22"/>
          <w:szCs w:val="22"/>
        </w:rPr>
      </w:pPr>
    </w:p>
    <w:p w:rsidR="00EB618C" w:rsidRDefault="00EB618C" w:rsidP="005912AD">
      <w:pPr>
        <w:jc w:val="both"/>
        <w:outlineLvl w:val="0"/>
        <w:rPr>
          <w:sz w:val="22"/>
          <w:szCs w:val="22"/>
        </w:rPr>
      </w:pPr>
    </w:p>
    <w:p w:rsidR="00EB618C" w:rsidRDefault="00EB618C" w:rsidP="005912AD">
      <w:pPr>
        <w:jc w:val="both"/>
        <w:outlineLvl w:val="0"/>
        <w:rPr>
          <w:sz w:val="22"/>
          <w:szCs w:val="22"/>
        </w:rPr>
      </w:pPr>
    </w:p>
    <w:p w:rsidR="00EB618C" w:rsidRDefault="00EB618C" w:rsidP="005912AD">
      <w:pPr>
        <w:jc w:val="both"/>
        <w:outlineLvl w:val="0"/>
        <w:rPr>
          <w:sz w:val="22"/>
          <w:szCs w:val="22"/>
        </w:rPr>
      </w:pPr>
    </w:p>
    <w:p w:rsidR="00C42E63" w:rsidRDefault="00C42E63" w:rsidP="005912AD">
      <w:pPr>
        <w:jc w:val="both"/>
        <w:outlineLvl w:val="0"/>
        <w:rPr>
          <w:sz w:val="22"/>
          <w:szCs w:val="22"/>
        </w:rPr>
      </w:pPr>
    </w:p>
    <w:p w:rsidR="00EB618C" w:rsidRDefault="00EB618C" w:rsidP="005912AD">
      <w:pPr>
        <w:jc w:val="both"/>
        <w:outlineLvl w:val="0"/>
        <w:rPr>
          <w:sz w:val="22"/>
          <w:szCs w:val="22"/>
        </w:rPr>
      </w:pPr>
    </w:p>
    <w:p w:rsidR="000B163E" w:rsidRPr="005912AD" w:rsidRDefault="000B163E" w:rsidP="005912AD">
      <w:pPr>
        <w:jc w:val="both"/>
        <w:outlineLvl w:val="0"/>
        <w:rPr>
          <w:sz w:val="22"/>
          <w:szCs w:val="22"/>
        </w:rPr>
      </w:pPr>
    </w:p>
    <w:p w:rsidR="00282D00" w:rsidRPr="00906CB0" w:rsidRDefault="00282D00" w:rsidP="00DE6BD7">
      <w:pPr>
        <w:pStyle w:val="Odlomakpopisa"/>
        <w:numPr>
          <w:ilvl w:val="0"/>
          <w:numId w:val="5"/>
        </w:numPr>
        <w:jc w:val="both"/>
        <w:outlineLvl w:val="0"/>
        <w:rPr>
          <w:b/>
          <w:sz w:val="22"/>
          <w:szCs w:val="22"/>
        </w:rPr>
      </w:pPr>
      <w:r w:rsidRPr="00906CB0">
        <w:rPr>
          <w:b/>
          <w:sz w:val="22"/>
          <w:szCs w:val="22"/>
        </w:rPr>
        <w:t>Bilješke uz Izvještaj o prihodima i rashodima – obrazac PR-RAS</w:t>
      </w:r>
    </w:p>
    <w:p w:rsidR="00CB53F1" w:rsidRDefault="00CB53F1" w:rsidP="009F4249">
      <w:pPr>
        <w:jc w:val="both"/>
        <w:outlineLvl w:val="0"/>
        <w:rPr>
          <w:sz w:val="22"/>
          <w:szCs w:val="22"/>
        </w:rPr>
      </w:pPr>
    </w:p>
    <w:tbl>
      <w:tblPr>
        <w:tblW w:w="9356" w:type="dxa"/>
        <w:tblLook w:val="04A0" w:firstRow="1" w:lastRow="0" w:firstColumn="1" w:lastColumn="0" w:noHBand="0" w:noVBand="1"/>
      </w:tblPr>
      <w:tblGrid>
        <w:gridCol w:w="794"/>
        <w:gridCol w:w="739"/>
        <w:gridCol w:w="483"/>
        <w:gridCol w:w="483"/>
        <w:gridCol w:w="428"/>
        <w:gridCol w:w="428"/>
        <w:gridCol w:w="428"/>
        <w:gridCol w:w="428"/>
        <w:gridCol w:w="428"/>
        <w:gridCol w:w="428"/>
        <w:gridCol w:w="902"/>
        <w:gridCol w:w="1686"/>
        <w:gridCol w:w="756"/>
        <w:gridCol w:w="945"/>
      </w:tblGrid>
      <w:tr w:rsidR="009F4249" w:rsidTr="009F4249">
        <w:trPr>
          <w:trHeight w:val="203"/>
        </w:trPr>
        <w:tc>
          <w:tcPr>
            <w:tcW w:w="794" w:type="dxa"/>
            <w:tcBorders>
              <w:top w:val="nil"/>
              <w:left w:val="nil"/>
              <w:bottom w:val="nil"/>
              <w:right w:val="nil"/>
            </w:tcBorders>
            <w:shd w:val="clear" w:color="auto" w:fill="auto"/>
            <w:noWrap/>
            <w:hideMark/>
          </w:tcPr>
          <w:p w:rsidR="009F4249" w:rsidRDefault="009F4249">
            <w:pPr>
              <w:rPr>
                <w:sz w:val="20"/>
                <w:szCs w:val="20"/>
              </w:rPr>
            </w:pPr>
          </w:p>
        </w:tc>
        <w:tc>
          <w:tcPr>
            <w:tcW w:w="739" w:type="dxa"/>
            <w:tcBorders>
              <w:top w:val="nil"/>
              <w:left w:val="nil"/>
              <w:bottom w:val="nil"/>
              <w:right w:val="nil"/>
            </w:tcBorders>
            <w:shd w:val="clear" w:color="auto" w:fill="auto"/>
            <w:noWrap/>
            <w:hideMark/>
          </w:tcPr>
          <w:p w:rsidR="009F4249" w:rsidRDefault="009F4249">
            <w:pPr>
              <w:rPr>
                <w:sz w:val="20"/>
                <w:szCs w:val="20"/>
              </w:rPr>
            </w:pPr>
          </w:p>
        </w:tc>
        <w:tc>
          <w:tcPr>
            <w:tcW w:w="483" w:type="dxa"/>
            <w:tcBorders>
              <w:top w:val="nil"/>
              <w:left w:val="nil"/>
              <w:bottom w:val="nil"/>
              <w:right w:val="nil"/>
            </w:tcBorders>
            <w:shd w:val="clear" w:color="auto" w:fill="auto"/>
            <w:noWrap/>
            <w:hideMark/>
          </w:tcPr>
          <w:p w:rsidR="009F4249" w:rsidRDefault="009F4249">
            <w:pPr>
              <w:rPr>
                <w:sz w:val="20"/>
                <w:szCs w:val="20"/>
              </w:rPr>
            </w:pPr>
          </w:p>
        </w:tc>
        <w:tc>
          <w:tcPr>
            <w:tcW w:w="483"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902" w:type="dxa"/>
            <w:tcBorders>
              <w:top w:val="nil"/>
              <w:left w:val="nil"/>
              <w:bottom w:val="nil"/>
              <w:right w:val="nil"/>
            </w:tcBorders>
            <w:shd w:val="clear" w:color="auto" w:fill="auto"/>
            <w:noWrap/>
            <w:hideMark/>
          </w:tcPr>
          <w:p w:rsidR="009F4249" w:rsidRDefault="009F4249">
            <w:pPr>
              <w:rPr>
                <w:sz w:val="20"/>
                <w:szCs w:val="20"/>
              </w:rPr>
            </w:pPr>
          </w:p>
        </w:tc>
        <w:tc>
          <w:tcPr>
            <w:tcW w:w="3387" w:type="dxa"/>
            <w:gridSpan w:val="3"/>
            <w:tcBorders>
              <w:top w:val="nil"/>
              <w:left w:val="nil"/>
              <w:bottom w:val="nil"/>
              <w:right w:val="nil"/>
            </w:tcBorders>
            <w:shd w:val="clear" w:color="auto" w:fill="auto"/>
            <w:noWrap/>
            <w:hideMark/>
          </w:tcPr>
          <w:p w:rsidR="009F4249" w:rsidRDefault="009F4249">
            <w:pPr>
              <w:jc w:val="right"/>
              <w:rPr>
                <w:rFonts w:ascii="Arial" w:hAnsi="Arial" w:cs="Arial"/>
                <w:b/>
                <w:bCs/>
                <w:color w:val="000000"/>
                <w:sz w:val="20"/>
                <w:szCs w:val="20"/>
              </w:rPr>
            </w:pPr>
            <w:r>
              <w:rPr>
                <w:rFonts w:ascii="Arial" w:hAnsi="Arial" w:cs="Arial"/>
                <w:b/>
                <w:bCs/>
                <w:color w:val="000000"/>
                <w:sz w:val="20"/>
                <w:szCs w:val="20"/>
              </w:rPr>
              <w:t>Izvršenje</w:t>
            </w:r>
          </w:p>
        </w:tc>
      </w:tr>
      <w:tr w:rsidR="009F4249" w:rsidTr="009F4249">
        <w:trPr>
          <w:trHeight w:val="203"/>
        </w:trPr>
        <w:tc>
          <w:tcPr>
            <w:tcW w:w="794" w:type="dxa"/>
            <w:tcBorders>
              <w:top w:val="nil"/>
              <w:left w:val="nil"/>
              <w:bottom w:val="single" w:sz="4" w:space="0" w:color="000000"/>
              <w:right w:val="nil"/>
            </w:tcBorders>
            <w:shd w:val="clear" w:color="auto" w:fill="auto"/>
            <w:noWrap/>
            <w:hideMark/>
          </w:tcPr>
          <w:p w:rsidR="009F4249" w:rsidRDefault="009F4249">
            <w:pPr>
              <w:rPr>
                <w:rFonts w:ascii="Arial" w:hAnsi="Arial" w:cs="Arial"/>
                <w:b/>
                <w:bCs/>
                <w:color w:val="000000"/>
                <w:sz w:val="20"/>
                <w:szCs w:val="20"/>
              </w:rPr>
            </w:pPr>
            <w:r>
              <w:rPr>
                <w:rFonts w:ascii="Arial" w:hAnsi="Arial" w:cs="Arial"/>
                <w:b/>
                <w:bCs/>
                <w:color w:val="000000"/>
                <w:sz w:val="20"/>
                <w:szCs w:val="20"/>
              </w:rPr>
              <w:t>Konto</w:t>
            </w:r>
          </w:p>
        </w:tc>
        <w:tc>
          <w:tcPr>
            <w:tcW w:w="739" w:type="dxa"/>
            <w:tcBorders>
              <w:top w:val="nil"/>
              <w:left w:val="nil"/>
              <w:bottom w:val="single" w:sz="4" w:space="0" w:color="000000"/>
              <w:right w:val="nil"/>
            </w:tcBorders>
            <w:shd w:val="clear" w:color="auto" w:fill="auto"/>
            <w:noWrap/>
            <w:hideMark/>
          </w:tcPr>
          <w:p w:rsidR="009F4249" w:rsidRDefault="009F4249">
            <w:pPr>
              <w:rPr>
                <w:rFonts w:ascii="Arial" w:hAnsi="Arial" w:cs="Arial"/>
                <w:b/>
                <w:bCs/>
                <w:color w:val="000000"/>
                <w:sz w:val="20"/>
                <w:szCs w:val="20"/>
              </w:rPr>
            </w:pPr>
            <w:r>
              <w:rPr>
                <w:rFonts w:ascii="Arial" w:hAnsi="Arial" w:cs="Arial"/>
                <w:b/>
                <w:bCs/>
                <w:color w:val="000000"/>
                <w:sz w:val="20"/>
                <w:szCs w:val="20"/>
              </w:rPr>
              <w:t>Naziv</w:t>
            </w:r>
          </w:p>
        </w:tc>
        <w:tc>
          <w:tcPr>
            <w:tcW w:w="483" w:type="dxa"/>
            <w:tcBorders>
              <w:top w:val="nil"/>
              <w:left w:val="nil"/>
              <w:bottom w:val="single" w:sz="4" w:space="0" w:color="000000"/>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83" w:type="dxa"/>
            <w:tcBorders>
              <w:top w:val="nil"/>
              <w:left w:val="nil"/>
              <w:bottom w:val="single" w:sz="4" w:space="0" w:color="000000"/>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nil"/>
              <w:left w:val="nil"/>
              <w:bottom w:val="single" w:sz="4" w:space="0" w:color="000000"/>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nil"/>
              <w:left w:val="nil"/>
              <w:bottom w:val="single" w:sz="4" w:space="0" w:color="000000"/>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nil"/>
              <w:left w:val="nil"/>
              <w:bottom w:val="single" w:sz="4" w:space="0" w:color="000000"/>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nil"/>
              <w:left w:val="nil"/>
              <w:bottom w:val="single" w:sz="4" w:space="0" w:color="000000"/>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nil"/>
              <w:left w:val="nil"/>
              <w:bottom w:val="single" w:sz="4" w:space="0" w:color="000000"/>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1330" w:type="dxa"/>
            <w:gridSpan w:val="2"/>
            <w:tcBorders>
              <w:top w:val="nil"/>
              <w:left w:val="nil"/>
              <w:bottom w:val="single" w:sz="4" w:space="0" w:color="000000"/>
              <w:right w:val="nil"/>
            </w:tcBorders>
            <w:shd w:val="clear" w:color="auto" w:fill="auto"/>
            <w:noWrap/>
            <w:hideMark/>
          </w:tcPr>
          <w:p w:rsidR="009F4249" w:rsidRDefault="009F4249" w:rsidP="009F4249">
            <w:pPr>
              <w:ind w:right="237"/>
              <w:jc w:val="right"/>
              <w:rPr>
                <w:rFonts w:ascii="Arial" w:hAnsi="Arial" w:cs="Arial"/>
                <w:b/>
                <w:bCs/>
                <w:color w:val="000000"/>
                <w:sz w:val="20"/>
                <w:szCs w:val="20"/>
              </w:rPr>
            </w:pPr>
            <w:r>
              <w:rPr>
                <w:rFonts w:ascii="Arial" w:hAnsi="Arial" w:cs="Arial"/>
                <w:b/>
                <w:bCs/>
                <w:color w:val="000000"/>
                <w:sz w:val="20"/>
                <w:szCs w:val="20"/>
              </w:rPr>
              <w:t>Plan</w:t>
            </w:r>
          </w:p>
        </w:tc>
        <w:tc>
          <w:tcPr>
            <w:tcW w:w="3387" w:type="dxa"/>
            <w:gridSpan w:val="3"/>
            <w:tcBorders>
              <w:top w:val="nil"/>
              <w:left w:val="nil"/>
              <w:bottom w:val="single" w:sz="4" w:space="0" w:color="000000"/>
              <w:right w:val="nil"/>
            </w:tcBorders>
            <w:shd w:val="clear" w:color="auto" w:fill="auto"/>
            <w:noWrap/>
            <w:hideMark/>
          </w:tcPr>
          <w:p w:rsidR="009F4249" w:rsidRDefault="009F4249">
            <w:pPr>
              <w:jc w:val="right"/>
              <w:rPr>
                <w:rFonts w:ascii="Arial" w:hAnsi="Arial" w:cs="Arial"/>
                <w:b/>
                <w:bCs/>
                <w:color w:val="000000"/>
                <w:sz w:val="20"/>
                <w:szCs w:val="20"/>
              </w:rPr>
            </w:pPr>
            <w:r>
              <w:rPr>
                <w:rFonts w:ascii="Arial" w:hAnsi="Arial" w:cs="Arial"/>
                <w:b/>
                <w:bCs/>
                <w:color w:val="000000"/>
                <w:sz w:val="20"/>
                <w:szCs w:val="20"/>
              </w:rPr>
              <w:t>do 31.12.2023</w:t>
            </w:r>
          </w:p>
        </w:tc>
      </w:tr>
      <w:tr w:rsidR="009F4249" w:rsidTr="009F4249">
        <w:trPr>
          <w:trHeight w:val="139"/>
        </w:trPr>
        <w:tc>
          <w:tcPr>
            <w:tcW w:w="794" w:type="dxa"/>
            <w:tcBorders>
              <w:top w:val="nil"/>
              <w:left w:val="nil"/>
              <w:bottom w:val="nil"/>
              <w:right w:val="nil"/>
            </w:tcBorders>
            <w:shd w:val="clear" w:color="auto" w:fill="auto"/>
            <w:noWrap/>
            <w:hideMark/>
          </w:tcPr>
          <w:p w:rsidR="009F4249" w:rsidRDefault="009F4249">
            <w:pPr>
              <w:jc w:val="right"/>
              <w:rPr>
                <w:rFonts w:ascii="Arial" w:hAnsi="Arial" w:cs="Arial"/>
                <w:b/>
                <w:bCs/>
                <w:color w:val="000000"/>
                <w:sz w:val="20"/>
                <w:szCs w:val="20"/>
              </w:rPr>
            </w:pPr>
          </w:p>
        </w:tc>
        <w:tc>
          <w:tcPr>
            <w:tcW w:w="739" w:type="dxa"/>
            <w:tcBorders>
              <w:top w:val="nil"/>
              <w:left w:val="nil"/>
              <w:bottom w:val="nil"/>
              <w:right w:val="nil"/>
            </w:tcBorders>
            <w:shd w:val="clear" w:color="auto" w:fill="auto"/>
            <w:noWrap/>
            <w:hideMark/>
          </w:tcPr>
          <w:p w:rsidR="009F4249" w:rsidRDefault="009F4249">
            <w:pPr>
              <w:rPr>
                <w:sz w:val="20"/>
                <w:szCs w:val="20"/>
              </w:rPr>
            </w:pPr>
          </w:p>
        </w:tc>
        <w:tc>
          <w:tcPr>
            <w:tcW w:w="483" w:type="dxa"/>
            <w:tcBorders>
              <w:top w:val="nil"/>
              <w:left w:val="nil"/>
              <w:bottom w:val="nil"/>
              <w:right w:val="nil"/>
            </w:tcBorders>
            <w:shd w:val="clear" w:color="auto" w:fill="auto"/>
            <w:noWrap/>
            <w:hideMark/>
          </w:tcPr>
          <w:p w:rsidR="009F4249" w:rsidRDefault="009F4249">
            <w:pPr>
              <w:rPr>
                <w:sz w:val="20"/>
                <w:szCs w:val="20"/>
              </w:rPr>
            </w:pPr>
          </w:p>
        </w:tc>
        <w:tc>
          <w:tcPr>
            <w:tcW w:w="483"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902" w:type="dxa"/>
            <w:tcBorders>
              <w:top w:val="nil"/>
              <w:left w:val="nil"/>
              <w:bottom w:val="nil"/>
              <w:right w:val="nil"/>
            </w:tcBorders>
            <w:shd w:val="clear" w:color="auto" w:fill="auto"/>
            <w:noWrap/>
            <w:hideMark/>
          </w:tcPr>
          <w:p w:rsidR="009F4249" w:rsidRDefault="009F4249">
            <w:pPr>
              <w:rPr>
                <w:sz w:val="20"/>
                <w:szCs w:val="20"/>
              </w:rPr>
            </w:pPr>
          </w:p>
        </w:tc>
        <w:tc>
          <w:tcPr>
            <w:tcW w:w="1686" w:type="dxa"/>
            <w:tcBorders>
              <w:top w:val="nil"/>
              <w:left w:val="nil"/>
              <w:bottom w:val="nil"/>
              <w:right w:val="nil"/>
            </w:tcBorders>
            <w:shd w:val="clear" w:color="auto" w:fill="auto"/>
            <w:noWrap/>
            <w:hideMark/>
          </w:tcPr>
          <w:p w:rsidR="009F4249" w:rsidRDefault="009F4249">
            <w:pPr>
              <w:rPr>
                <w:sz w:val="20"/>
                <w:szCs w:val="20"/>
              </w:rPr>
            </w:pPr>
          </w:p>
        </w:tc>
        <w:tc>
          <w:tcPr>
            <w:tcW w:w="756" w:type="dxa"/>
            <w:tcBorders>
              <w:top w:val="nil"/>
              <w:left w:val="nil"/>
              <w:bottom w:val="nil"/>
              <w:right w:val="nil"/>
            </w:tcBorders>
            <w:shd w:val="clear" w:color="auto" w:fill="auto"/>
            <w:noWrap/>
            <w:hideMark/>
          </w:tcPr>
          <w:p w:rsidR="009F4249" w:rsidRDefault="009F4249">
            <w:pPr>
              <w:rPr>
                <w:sz w:val="20"/>
                <w:szCs w:val="20"/>
              </w:rPr>
            </w:pPr>
          </w:p>
        </w:tc>
        <w:tc>
          <w:tcPr>
            <w:tcW w:w="945" w:type="dxa"/>
            <w:tcBorders>
              <w:top w:val="nil"/>
              <w:left w:val="nil"/>
              <w:bottom w:val="nil"/>
              <w:right w:val="nil"/>
            </w:tcBorders>
            <w:shd w:val="clear" w:color="auto" w:fill="auto"/>
            <w:noWrap/>
            <w:hideMark/>
          </w:tcPr>
          <w:p w:rsidR="009F4249" w:rsidRDefault="009F4249">
            <w:pPr>
              <w:rPr>
                <w:sz w:val="20"/>
                <w:szCs w:val="20"/>
              </w:rPr>
            </w:pPr>
          </w:p>
        </w:tc>
      </w:tr>
      <w:tr w:rsidR="009F4249" w:rsidTr="009F4249">
        <w:trPr>
          <w:trHeight w:val="330"/>
        </w:trPr>
        <w:tc>
          <w:tcPr>
            <w:tcW w:w="794" w:type="dxa"/>
            <w:tcBorders>
              <w:top w:val="nil"/>
              <w:left w:val="nil"/>
              <w:bottom w:val="nil"/>
              <w:right w:val="nil"/>
            </w:tcBorders>
            <w:shd w:val="clear" w:color="auto" w:fill="auto"/>
            <w:noWrap/>
            <w:hideMark/>
          </w:tcPr>
          <w:p w:rsidR="009F4249" w:rsidRDefault="009F4249">
            <w:pPr>
              <w:rPr>
                <w:rFonts w:ascii="Arial" w:hAnsi="Arial" w:cs="Arial"/>
                <w:color w:val="000000"/>
                <w:sz w:val="22"/>
                <w:szCs w:val="22"/>
              </w:rPr>
            </w:pPr>
            <w:r>
              <w:rPr>
                <w:rFonts w:ascii="Arial" w:hAnsi="Arial" w:cs="Arial"/>
                <w:color w:val="000000"/>
                <w:sz w:val="22"/>
                <w:szCs w:val="22"/>
              </w:rPr>
              <w:t>6</w:t>
            </w:r>
          </w:p>
        </w:tc>
        <w:tc>
          <w:tcPr>
            <w:tcW w:w="3845" w:type="dxa"/>
            <w:gridSpan w:val="8"/>
            <w:tcBorders>
              <w:top w:val="nil"/>
              <w:left w:val="nil"/>
              <w:bottom w:val="nil"/>
              <w:right w:val="nil"/>
            </w:tcBorders>
            <w:shd w:val="clear" w:color="auto" w:fill="auto"/>
            <w:noWrap/>
            <w:hideMark/>
          </w:tcPr>
          <w:p w:rsidR="009F4249" w:rsidRDefault="009F4249">
            <w:pPr>
              <w:rPr>
                <w:rFonts w:ascii="Arial" w:hAnsi="Arial" w:cs="Arial"/>
                <w:color w:val="000000"/>
                <w:sz w:val="22"/>
                <w:szCs w:val="22"/>
              </w:rPr>
            </w:pPr>
            <w:r>
              <w:rPr>
                <w:rFonts w:ascii="Arial" w:hAnsi="Arial" w:cs="Arial"/>
                <w:color w:val="000000"/>
                <w:sz w:val="22"/>
                <w:szCs w:val="22"/>
              </w:rPr>
              <w:t>Prihodi poslovanja</w:t>
            </w:r>
          </w:p>
        </w:tc>
        <w:tc>
          <w:tcPr>
            <w:tcW w:w="428" w:type="dxa"/>
            <w:tcBorders>
              <w:top w:val="nil"/>
              <w:left w:val="nil"/>
              <w:bottom w:val="nil"/>
              <w:right w:val="nil"/>
            </w:tcBorders>
            <w:shd w:val="clear" w:color="auto" w:fill="auto"/>
            <w:noWrap/>
            <w:hideMark/>
          </w:tcPr>
          <w:p w:rsidR="009F4249" w:rsidRDefault="009F4249">
            <w:pPr>
              <w:rPr>
                <w:rFonts w:ascii="Arial" w:hAnsi="Arial" w:cs="Arial"/>
                <w:color w:val="000000"/>
                <w:sz w:val="22"/>
                <w:szCs w:val="22"/>
              </w:rPr>
            </w:pPr>
          </w:p>
        </w:tc>
        <w:tc>
          <w:tcPr>
            <w:tcW w:w="2588"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sz w:val="22"/>
                <w:szCs w:val="22"/>
              </w:rPr>
            </w:pPr>
            <w:r>
              <w:rPr>
                <w:rFonts w:ascii="Arial" w:hAnsi="Arial" w:cs="Arial"/>
                <w:color w:val="000000"/>
                <w:sz w:val="22"/>
                <w:szCs w:val="22"/>
              </w:rPr>
              <w:t>2.528.054,23</w:t>
            </w:r>
          </w:p>
        </w:tc>
        <w:tc>
          <w:tcPr>
            <w:tcW w:w="1701"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sz w:val="22"/>
                <w:szCs w:val="22"/>
              </w:rPr>
            </w:pPr>
            <w:r>
              <w:rPr>
                <w:rFonts w:ascii="Arial" w:hAnsi="Arial" w:cs="Arial"/>
                <w:color w:val="000000"/>
                <w:sz w:val="22"/>
                <w:szCs w:val="22"/>
              </w:rPr>
              <w:t>1.155.313,10</w:t>
            </w:r>
          </w:p>
        </w:tc>
      </w:tr>
      <w:tr w:rsidR="009F4249" w:rsidTr="009F4249">
        <w:trPr>
          <w:trHeight w:val="216"/>
        </w:trPr>
        <w:tc>
          <w:tcPr>
            <w:tcW w:w="794" w:type="dxa"/>
            <w:tcBorders>
              <w:top w:val="nil"/>
              <w:left w:val="nil"/>
              <w:bottom w:val="nil"/>
              <w:right w:val="nil"/>
            </w:tcBorders>
            <w:shd w:val="clear" w:color="auto" w:fill="auto"/>
            <w:noWrap/>
            <w:hideMark/>
          </w:tcPr>
          <w:p w:rsidR="009F4249" w:rsidRDefault="009F4249">
            <w:pPr>
              <w:rPr>
                <w:rFonts w:ascii="Arial" w:hAnsi="Arial" w:cs="Arial"/>
                <w:color w:val="000000"/>
                <w:sz w:val="22"/>
                <w:szCs w:val="22"/>
              </w:rPr>
            </w:pPr>
            <w:r>
              <w:rPr>
                <w:rFonts w:ascii="Arial" w:hAnsi="Arial" w:cs="Arial"/>
                <w:color w:val="000000"/>
                <w:sz w:val="22"/>
                <w:szCs w:val="22"/>
              </w:rPr>
              <w:t>7</w:t>
            </w:r>
          </w:p>
        </w:tc>
        <w:tc>
          <w:tcPr>
            <w:tcW w:w="3845" w:type="dxa"/>
            <w:gridSpan w:val="8"/>
            <w:tcBorders>
              <w:top w:val="nil"/>
              <w:left w:val="nil"/>
              <w:bottom w:val="nil"/>
              <w:right w:val="nil"/>
            </w:tcBorders>
            <w:shd w:val="clear" w:color="auto" w:fill="auto"/>
            <w:noWrap/>
            <w:hideMark/>
          </w:tcPr>
          <w:p w:rsidR="009F4249" w:rsidRDefault="009F4249">
            <w:pPr>
              <w:rPr>
                <w:rFonts w:ascii="Arial" w:hAnsi="Arial" w:cs="Arial"/>
                <w:color w:val="000000"/>
                <w:sz w:val="22"/>
                <w:szCs w:val="22"/>
              </w:rPr>
            </w:pPr>
            <w:r>
              <w:rPr>
                <w:rFonts w:ascii="Arial" w:hAnsi="Arial" w:cs="Arial"/>
                <w:color w:val="000000"/>
                <w:sz w:val="22"/>
                <w:szCs w:val="22"/>
              </w:rPr>
              <w:t>Prihodi od prodaje nefinancijske imovine</w:t>
            </w:r>
          </w:p>
        </w:tc>
        <w:tc>
          <w:tcPr>
            <w:tcW w:w="428" w:type="dxa"/>
            <w:tcBorders>
              <w:top w:val="nil"/>
              <w:left w:val="nil"/>
              <w:bottom w:val="nil"/>
              <w:right w:val="nil"/>
            </w:tcBorders>
            <w:shd w:val="clear" w:color="auto" w:fill="auto"/>
            <w:noWrap/>
            <w:hideMark/>
          </w:tcPr>
          <w:p w:rsidR="009F4249" w:rsidRDefault="009F4249">
            <w:pPr>
              <w:rPr>
                <w:rFonts w:ascii="Arial" w:hAnsi="Arial" w:cs="Arial"/>
                <w:color w:val="000000"/>
                <w:sz w:val="22"/>
                <w:szCs w:val="22"/>
              </w:rPr>
            </w:pPr>
          </w:p>
        </w:tc>
        <w:tc>
          <w:tcPr>
            <w:tcW w:w="2588"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sz w:val="22"/>
                <w:szCs w:val="22"/>
              </w:rPr>
            </w:pPr>
            <w:r>
              <w:rPr>
                <w:rFonts w:ascii="Arial" w:hAnsi="Arial" w:cs="Arial"/>
                <w:color w:val="000000"/>
                <w:sz w:val="22"/>
                <w:szCs w:val="22"/>
              </w:rPr>
              <w:t>46.744,03</w:t>
            </w:r>
          </w:p>
        </w:tc>
        <w:tc>
          <w:tcPr>
            <w:tcW w:w="1701"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sz w:val="22"/>
                <w:szCs w:val="22"/>
              </w:rPr>
            </w:pPr>
            <w:r>
              <w:rPr>
                <w:rFonts w:ascii="Arial" w:hAnsi="Arial" w:cs="Arial"/>
                <w:color w:val="000000"/>
                <w:sz w:val="22"/>
                <w:szCs w:val="22"/>
              </w:rPr>
              <w:t>36.254,12</w:t>
            </w:r>
          </w:p>
        </w:tc>
      </w:tr>
      <w:tr w:rsidR="009F4249" w:rsidTr="009F4249">
        <w:trPr>
          <w:trHeight w:val="216"/>
        </w:trPr>
        <w:tc>
          <w:tcPr>
            <w:tcW w:w="794" w:type="dxa"/>
            <w:tcBorders>
              <w:top w:val="nil"/>
              <w:left w:val="nil"/>
              <w:bottom w:val="nil"/>
              <w:right w:val="nil"/>
            </w:tcBorders>
            <w:shd w:val="clear" w:color="auto" w:fill="auto"/>
            <w:noWrap/>
            <w:hideMark/>
          </w:tcPr>
          <w:p w:rsidR="009F4249" w:rsidRDefault="009F4249">
            <w:pPr>
              <w:jc w:val="right"/>
              <w:rPr>
                <w:rFonts w:ascii="Arial" w:hAnsi="Arial" w:cs="Arial"/>
                <w:color w:val="000000"/>
                <w:sz w:val="22"/>
                <w:szCs w:val="22"/>
              </w:rPr>
            </w:pPr>
          </w:p>
        </w:tc>
        <w:tc>
          <w:tcPr>
            <w:tcW w:w="739"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83"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83"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902"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1686"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756"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945"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r>
      <w:tr w:rsidR="009F4249" w:rsidTr="009F4249">
        <w:trPr>
          <w:trHeight w:val="330"/>
        </w:trPr>
        <w:tc>
          <w:tcPr>
            <w:tcW w:w="794" w:type="dxa"/>
            <w:tcBorders>
              <w:top w:val="nil"/>
              <w:left w:val="nil"/>
              <w:bottom w:val="nil"/>
              <w:right w:val="nil"/>
            </w:tcBorders>
            <w:shd w:val="clear" w:color="auto" w:fill="auto"/>
            <w:noWrap/>
            <w:hideMark/>
          </w:tcPr>
          <w:p w:rsidR="009F4249" w:rsidRDefault="009F4249">
            <w:pPr>
              <w:rPr>
                <w:rFonts w:ascii="Arial" w:hAnsi="Arial" w:cs="Arial"/>
                <w:color w:val="000000"/>
                <w:sz w:val="22"/>
                <w:szCs w:val="22"/>
              </w:rPr>
            </w:pPr>
            <w:r>
              <w:rPr>
                <w:rFonts w:ascii="Arial" w:hAnsi="Arial" w:cs="Arial"/>
                <w:color w:val="000000"/>
                <w:sz w:val="22"/>
                <w:szCs w:val="22"/>
              </w:rPr>
              <w:t>3</w:t>
            </w:r>
          </w:p>
        </w:tc>
        <w:tc>
          <w:tcPr>
            <w:tcW w:w="3845" w:type="dxa"/>
            <w:gridSpan w:val="8"/>
            <w:tcBorders>
              <w:top w:val="nil"/>
              <w:left w:val="nil"/>
              <w:bottom w:val="nil"/>
              <w:right w:val="nil"/>
            </w:tcBorders>
            <w:shd w:val="clear" w:color="auto" w:fill="auto"/>
            <w:noWrap/>
            <w:hideMark/>
          </w:tcPr>
          <w:p w:rsidR="009F4249" w:rsidRDefault="009F4249">
            <w:pPr>
              <w:rPr>
                <w:rFonts w:ascii="Arial" w:hAnsi="Arial" w:cs="Arial"/>
                <w:color w:val="000000"/>
                <w:sz w:val="22"/>
                <w:szCs w:val="22"/>
              </w:rPr>
            </w:pPr>
            <w:r>
              <w:rPr>
                <w:rFonts w:ascii="Arial" w:hAnsi="Arial" w:cs="Arial"/>
                <w:color w:val="000000"/>
                <w:sz w:val="22"/>
                <w:szCs w:val="22"/>
              </w:rPr>
              <w:t>Rashodi poslovanja</w:t>
            </w:r>
          </w:p>
        </w:tc>
        <w:tc>
          <w:tcPr>
            <w:tcW w:w="428" w:type="dxa"/>
            <w:tcBorders>
              <w:top w:val="nil"/>
              <w:left w:val="nil"/>
              <w:bottom w:val="nil"/>
              <w:right w:val="nil"/>
            </w:tcBorders>
            <w:shd w:val="clear" w:color="auto" w:fill="auto"/>
            <w:noWrap/>
            <w:hideMark/>
          </w:tcPr>
          <w:p w:rsidR="009F4249" w:rsidRDefault="009F4249">
            <w:pPr>
              <w:rPr>
                <w:rFonts w:ascii="Arial" w:hAnsi="Arial" w:cs="Arial"/>
                <w:color w:val="000000"/>
                <w:sz w:val="22"/>
                <w:szCs w:val="22"/>
              </w:rPr>
            </w:pPr>
          </w:p>
        </w:tc>
        <w:tc>
          <w:tcPr>
            <w:tcW w:w="2588"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sz w:val="22"/>
                <w:szCs w:val="22"/>
              </w:rPr>
            </w:pPr>
            <w:r>
              <w:rPr>
                <w:rFonts w:ascii="Arial" w:hAnsi="Arial" w:cs="Arial"/>
                <w:color w:val="000000"/>
                <w:sz w:val="22"/>
                <w:szCs w:val="22"/>
              </w:rPr>
              <w:t>729.470,94</w:t>
            </w:r>
          </w:p>
        </w:tc>
        <w:tc>
          <w:tcPr>
            <w:tcW w:w="1701"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sz w:val="22"/>
                <w:szCs w:val="22"/>
              </w:rPr>
            </w:pPr>
            <w:r>
              <w:rPr>
                <w:rFonts w:ascii="Arial" w:hAnsi="Arial" w:cs="Arial"/>
                <w:color w:val="000000"/>
                <w:sz w:val="22"/>
                <w:szCs w:val="22"/>
              </w:rPr>
              <w:t>526.062,59</w:t>
            </w:r>
          </w:p>
        </w:tc>
      </w:tr>
      <w:tr w:rsidR="009F4249" w:rsidTr="009F4249">
        <w:trPr>
          <w:trHeight w:val="216"/>
        </w:trPr>
        <w:tc>
          <w:tcPr>
            <w:tcW w:w="794" w:type="dxa"/>
            <w:tcBorders>
              <w:top w:val="nil"/>
              <w:left w:val="nil"/>
              <w:bottom w:val="nil"/>
              <w:right w:val="nil"/>
            </w:tcBorders>
            <w:shd w:val="clear" w:color="auto" w:fill="auto"/>
            <w:noWrap/>
            <w:hideMark/>
          </w:tcPr>
          <w:p w:rsidR="009F4249" w:rsidRDefault="009F4249">
            <w:pPr>
              <w:rPr>
                <w:rFonts w:ascii="Arial" w:hAnsi="Arial" w:cs="Arial"/>
                <w:color w:val="000000"/>
                <w:sz w:val="22"/>
                <w:szCs w:val="22"/>
              </w:rPr>
            </w:pPr>
            <w:r>
              <w:rPr>
                <w:rFonts w:ascii="Arial" w:hAnsi="Arial" w:cs="Arial"/>
                <w:color w:val="000000"/>
                <w:sz w:val="22"/>
                <w:szCs w:val="22"/>
              </w:rPr>
              <w:t>4</w:t>
            </w:r>
          </w:p>
        </w:tc>
        <w:tc>
          <w:tcPr>
            <w:tcW w:w="3845" w:type="dxa"/>
            <w:gridSpan w:val="8"/>
            <w:tcBorders>
              <w:top w:val="nil"/>
              <w:left w:val="nil"/>
              <w:bottom w:val="nil"/>
              <w:right w:val="nil"/>
            </w:tcBorders>
            <w:shd w:val="clear" w:color="auto" w:fill="auto"/>
            <w:noWrap/>
            <w:hideMark/>
          </w:tcPr>
          <w:p w:rsidR="009F4249" w:rsidRDefault="009F4249">
            <w:pPr>
              <w:rPr>
                <w:rFonts w:ascii="Arial" w:hAnsi="Arial" w:cs="Arial"/>
                <w:color w:val="000000"/>
                <w:sz w:val="22"/>
                <w:szCs w:val="22"/>
              </w:rPr>
            </w:pPr>
            <w:r>
              <w:rPr>
                <w:rFonts w:ascii="Arial" w:hAnsi="Arial" w:cs="Arial"/>
                <w:color w:val="000000"/>
                <w:sz w:val="22"/>
                <w:szCs w:val="22"/>
              </w:rPr>
              <w:t>Rashodi za nabavu nefinancijske imovine</w:t>
            </w:r>
          </w:p>
        </w:tc>
        <w:tc>
          <w:tcPr>
            <w:tcW w:w="428" w:type="dxa"/>
            <w:tcBorders>
              <w:top w:val="nil"/>
              <w:left w:val="nil"/>
              <w:bottom w:val="nil"/>
              <w:right w:val="nil"/>
            </w:tcBorders>
            <w:shd w:val="clear" w:color="auto" w:fill="auto"/>
            <w:noWrap/>
            <w:hideMark/>
          </w:tcPr>
          <w:p w:rsidR="009F4249" w:rsidRDefault="009F4249">
            <w:pPr>
              <w:rPr>
                <w:rFonts w:ascii="Arial" w:hAnsi="Arial" w:cs="Arial"/>
                <w:color w:val="000000"/>
                <w:sz w:val="22"/>
                <w:szCs w:val="22"/>
              </w:rPr>
            </w:pPr>
          </w:p>
        </w:tc>
        <w:tc>
          <w:tcPr>
            <w:tcW w:w="2588"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sz w:val="22"/>
                <w:szCs w:val="22"/>
              </w:rPr>
            </w:pPr>
            <w:r>
              <w:rPr>
                <w:rFonts w:ascii="Arial" w:hAnsi="Arial" w:cs="Arial"/>
                <w:color w:val="000000"/>
                <w:sz w:val="22"/>
                <w:szCs w:val="22"/>
              </w:rPr>
              <w:t>1.870.529,06</w:t>
            </w:r>
          </w:p>
        </w:tc>
        <w:tc>
          <w:tcPr>
            <w:tcW w:w="1701"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sz w:val="22"/>
                <w:szCs w:val="22"/>
              </w:rPr>
            </w:pPr>
            <w:r>
              <w:rPr>
                <w:rFonts w:ascii="Arial" w:hAnsi="Arial" w:cs="Arial"/>
                <w:color w:val="000000"/>
                <w:sz w:val="22"/>
                <w:szCs w:val="22"/>
              </w:rPr>
              <w:t>509.828,16</w:t>
            </w:r>
          </w:p>
        </w:tc>
      </w:tr>
      <w:tr w:rsidR="009F4249" w:rsidTr="009F4249">
        <w:trPr>
          <w:trHeight w:val="152"/>
        </w:trPr>
        <w:tc>
          <w:tcPr>
            <w:tcW w:w="794" w:type="dxa"/>
            <w:tcBorders>
              <w:top w:val="nil"/>
              <w:left w:val="nil"/>
              <w:bottom w:val="nil"/>
              <w:right w:val="nil"/>
            </w:tcBorders>
            <w:shd w:val="clear" w:color="auto" w:fill="auto"/>
            <w:noWrap/>
            <w:hideMark/>
          </w:tcPr>
          <w:p w:rsidR="009F4249" w:rsidRDefault="009F4249">
            <w:pPr>
              <w:jc w:val="right"/>
              <w:rPr>
                <w:rFonts w:ascii="Arial" w:hAnsi="Arial" w:cs="Arial"/>
                <w:color w:val="000000"/>
                <w:sz w:val="22"/>
                <w:szCs w:val="22"/>
              </w:rPr>
            </w:pPr>
          </w:p>
        </w:tc>
        <w:tc>
          <w:tcPr>
            <w:tcW w:w="739" w:type="dxa"/>
            <w:tcBorders>
              <w:top w:val="nil"/>
              <w:left w:val="nil"/>
              <w:bottom w:val="nil"/>
              <w:right w:val="nil"/>
            </w:tcBorders>
            <w:shd w:val="clear" w:color="auto" w:fill="auto"/>
            <w:noWrap/>
            <w:hideMark/>
          </w:tcPr>
          <w:p w:rsidR="009F4249" w:rsidRDefault="009F4249">
            <w:pPr>
              <w:rPr>
                <w:sz w:val="20"/>
                <w:szCs w:val="20"/>
              </w:rPr>
            </w:pPr>
          </w:p>
        </w:tc>
        <w:tc>
          <w:tcPr>
            <w:tcW w:w="483" w:type="dxa"/>
            <w:tcBorders>
              <w:top w:val="nil"/>
              <w:left w:val="nil"/>
              <w:bottom w:val="nil"/>
              <w:right w:val="nil"/>
            </w:tcBorders>
            <w:shd w:val="clear" w:color="auto" w:fill="auto"/>
            <w:noWrap/>
            <w:hideMark/>
          </w:tcPr>
          <w:p w:rsidR="009F4249" w:rsidRDefault="009F4249">
            <w:pPr>
              <w:rPr>
                <w:sz w:val="20"/>
                <w:szCs w:val="20"/>
              </w:rPr>
            </w:pPr>
          </w:p>
        </w:tc>
        <w:tc>
          <w:tcPr>
            <w:tcW w:w="483"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902" w:type="dxa"/>
            <w:tcBorders>
              <w:top w:val="nil"/>
              <w:left w:val="nil"/>
              <w:bottom w:val="nil"/>
              <w:right w:val="nil"/>
            </w:tcBorders>
            <w:shd w:val="clear" w:color="auto" w:fill="auto"/>
            <w:noWrap/>
            <w:hideMark/>
          </w:tcPr>
          <w:p w:rsidR="009F4249" w:rsidRDefault="009F4249">
            <w:pPr>
              <w:rPr>
                <w:sz w:val="20"/>
                <w:szCs w:val="20"/>
              </w:rPr>
            </w:pPr>
          </w:p>
        </w:tc>
        <w:tc>
          <w:tcPr>
            <w:tcW w:w="1686" w:type="dxa"/>
            <w:tcBorders>
              <w:top w:val="nil"/>
              <w:left w:val="nil"/>
              <w:bottom w:val="nil"/>
              <w:right w:val="nil"/>
            </w:tcBorders>
            <w:shd w:val="clear" w:color="auto" w:fill="auto"/>
            <w:noWrap/>
            <w:hideMark/>
          </w:tcPr>
          <w:p w:rsidR="009F4249" w:rsidRDefault="009F4249">
            <w:pPr>
              <w:rPr>
                <w:sz w:val="20"/>
                <w:szCs w:val="20"/>
              </w:rPr>
            </w:pPr>
          </w:p>
        </w:tc>
        <w:tc>
          <w:tcPr>
            <w:tcW w:w="756" w:type="dxa"/>
            <w:tcBorders>
              <w:top w:val="nil"/>
              <w:left w:val="nil"/>
              <w:bottom w:val="nil"/>
              <w:right w:val="nil"/>
            </w:tcBorders>
            <w:shd w:val="clear" w:color="auto" w:fill="auto"/>
            <w:noWrap/>
            <w:hideMark/>
          </w:tcPr>
          <w:p w:rsidR="009F4249" w:rsidRDefault="009F4249">
            <w:pPr>
              <w:rPr>
                <w:sz w:val="20"/>
                <w:szCs w:val="20"/>
              </w:rPr>
            </w:pPr>
          </w:p>
        </w:tc>
        <w:tc>
          <w:tcPr>
            <w:tcW w:w="945" w:type="dxa"/>
            <w:tcBorders>
              <w:top w:val="nil"/>
              <w:left w:val="nil"/>
              <w:bottom w:val="nil"/>
              <w:right w:val="nil"/>
            </w:tcBorders>
            <w:shd w:val="clear" w:color="auto" w:fill="auto"/>
            <w:noWrap/>
            <w:hideMark/>
          </w:tcPr>
          <w:p w:rsidR="009F4249" w:rsidRDefault="009F4249">
            <w:pPr>
              <w:rPr>
                <w:sz w:val="20"/>
                <w:szCs w:val="20"/>
              </w:rPr>
            </w:pPr>
          </w:p>
        </w:tc>
      </w:tr>
      <w:tr w:rsidR="009F4249" w:rsidTr="009F4249">
        <w:trPr>
          <w:trHeight w:val="223"/>
        </w:trPr>
        <w:tc>
          <w:tcPr>
            <w:tcW w:w="3355" w:type="dxa"/>
            <w:gridSpan w:val="6"/>
            <w:tcBorders>
              <w:top w:val="single" w:sz="4" w:space="0" w:color="000000"/>
              <w:left w:val="nil"/>
              <w:bottom w:val="nil"/>
              <w:right w:val="nil"/>
            </w:tcBorders>
            <w:shd w:val="clear" w:color="auto" w:fill="auto"/>
            <w:noWrap/>
            <w:hideMark/>
          </w:tcPr>
          <w:p w:rsidR="009F4249" w:rsidRDefault="009F4249">
            <w:pPr>
              <w:rPr>
                <w:rFonts w:ascii="Arial" w:hAnsi="Arial" w:cs="Arial"/>
                <w:b/>
                <w:bCs/>
                <w:color w:val="000000"/>
                <w:sz w:val="20"/>
                <w:szCs w:val="20"/>
              </w:rPr>
            </w:pPr>
            <w:r>
              <w:rPr>
                <w:rFonts w:ascii="Arial" w:hAnsi="Arial" w:cs="Arial"/>
                <w:b/>
                <w:bCs/>
                <w:color w:val="000000"/>
                <w:sz w:val="20"/>
                <w:szCs w:val="20"/>
              </w:rPr>
              <w:t>Razlika - višak/manjak ((6 + 7) - (3 + 4))</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2588" w:type="dxa"/>
            <w:gridSpan w:val="2"/>
            <w:tcBorders>
              <w:top w:val="single" w:sz="4" w:space="0" w:color="000000"/>
              <w:left w:val="nil"/>
              <w:bottom w:val="nil"/>
              <w:right w:val="nil"/>
            </w:tcBorders>
            <w:shd w:val="clear" w:color="auto" w:fill="auto"/>
            <w:noWrap/>
            <w:hideMark/>
          </w:tcPr>
          <w:p w:rsidR="009F4249" w:rsidRDefault="009F4249">
            <w:pPr>
              <w:jc w:val="right"/>
              <w:rPr>
                <w:rFonts w:ascii="Arial" w:hAnsi="Arial" w:cs="Arial"/>
                <w:b/>
                <w:bCs/>
                <w:color w:val="000000"/>
                <w:sz w:val="22"/>
                <w:szCs w:val="22"/>
              </w:rPr>
            </w:pPr>
            <w:r>
              <w:rPr>
                <w:rFonts w:ascii="Arial" w:hAnsi="Arial" w:cs="Arial"/>
                <w:b/>
                <w:bCs/>
                <w:color w:val="000000"/>
                <w:sz w:val="22"/>
                <w:szCs w:val="22"/>
              </w:rPr>
              <w:t>-25.201,74</w:t>
            </w:r>
          </w:p>
        </w:tc>
        <w:tc>
          <w:tcPr>
            <w:tcW w:w="1701" w:type="dxa"/>
            <w:gridSpan w:val="2"/>
            <w:tcBorders>
              <w:top w:val="single" w:sz="4" w:space="0" w:color="000000"/>
              <w:left w:val="nil"/>
              <w:bottom w:val="nil"/>
              <w:right w:val="nil"/>
            </w:tcBorders>
            <w:shd w:val="clear" w:color="auto" w:fill="auto"/>
            <w:noWrap/>
            <w:hideMark/>
          </w:tcPr>
          <w:p w:rsidR="009F4249" w:rsidRDefault="009F4249">
            <w:pPr>
              <w:jc w:val="right"/>
              <w:rPr>
                <w:rFonts w:ascii="Arial" w:hAnsi="Arial" w:cs="Arial"/>
                <w:b/>
                <w:bCs/>
                <w:color w:val="000000"/>
                <w:sz w:val="22"/>
                <w:szCs w:val="22"/>
              </w:rPr>
            </w:pPr>
            <w:r>
              <w:rPr>
                <w:rFonts w:ascii="Arial" w:hAnsi="Arial" w:cs="Arial"/>
                <w:b/>
                <w:bCs/>
                <w:color w:val="000000"/>
                <w:sz w:val="22"/>
                <w:szCs w:val="22"/>
              </w:rPr>
              <w:t>155.676,47</w:t>
            </w:r>
          </w:p>
        </w:tc>
      </w:tr>
      <w:tr w:rsidR="009F4249" w:rsidTr="009F4249">
        <w:trPr>
          <w:trHeight w:val="299"/>
        </w:trPr>
        <w:tc>
          <w:tcPr>
            <w:tcW w:w="794"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739"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83"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83"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902"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1686"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756"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945" w:type="dxa"/>
            <w:tcBorders>
              <w:top w:val="double" w:sz="6"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r>
      <w:tr w:rsidR="009F4249" w:rsidTr="009F4249">
        <w:trPr>
          <w:trHeight w:val="337"/>
        </w:trPr>
        <w:tc>
          <w:tcPr>
            <w:tcW w:w="2499" w:type="dxa"/>
            <w:gridSpan w:val="4"/>
            <w:tcBorders>
              <w:top w:val="nil"/>
              <w:left w:val="nil"/>
              <w:bottom w:val="nil"/>
              <w:right w:val="nil"/>
            </w:tcBorders>
            <w:shd w:val="clear" w:color="auto" w:fill="auto"/>
            <w:noWrap/>
            <w:hideMark/>
          </w:tcPr>
          <w:p w:rsidR="009F4249" w:rsidRDefault="009F4249">
            <w:pPr>
              <w:rPr>
                <w:rFonts w:ascii="Arial" w:hAnsi="Arial" w:cs="Arial"/>
                <w:color w:val="000000"/>
              </w:rPr>
            </w:pPr>
            <w:r>
              <w:rPr>
                <w:rFonts w:ascii="Arial" w:hAnsi="Arial" w:cs="Arial"/>
                <w:color w:val="000000"/>
              </w:rPr>
              <w:t>Ukupno prihodi i primici</w:t>
            </w:r>
          </w:p>
        </w:tc>
        <w:tc>
          <w:tcPr>
            <w:tcW w:w="428" w:type="dxa"/>
            <w:tcBorders>
              <w:top w:val="nil"/>
              <w:left w:val="nil"/>
              <w:bottom w:val="nil"/>
              <w:right w:val="nil"/>
            </w:tcBorders>
            <w:shd w:val="clear" w:color="auto" w:fill="auto"/>
            <w:noWrap/>
            <w:hideMark/>
          </w:tcPr>
          <w:p w:rsidR="009F4249" w:rsidRDefault="009F4249">
            <w:pPr>
              <w:rPr>
                <w:rFonts w:ascii="Arial" w:hAnsi="Arial" w:cs="Arial"/>
                <w:color w:val="00000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2588"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rPr>
            </w:pPr>
            <w:r>
              <w:rPr>
                <w:rFonts w:ascii="Arial" w:hAnsi="Arial" w:cs="Arial"/>
                <w:color w:val="000000"/>
              </w:rPr>
              <w:t>2.574.798,26</w:t>
            </w:r>
          </w:p>
        </w:tc>
        <w:tc>
          <w:tcPr>
            <w:tcW w:w="1701"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rPr>
            </w:pPr>
            <w:r>
              <w:rPr>
                <w:rFonts w:ascii="Arial" w:hAnsi="Arial" w:cs="Arial"/>
                <w:color w:val="000000"/>
              </w:rPr>
              <w:t>1.191.567,22</w:t>
            </w:r>
          </w:p>
        </w:tc>
      </w:tr>
      <w:tr w:rsidR="009F4249" w:rsidTr="009F4249">
        <w:trPr>
          <w:trHeight w:val="232"/>
        </w:trPr>
        <w:tc>
          <w:tcPr>
            <w:tcW w:w="3355" w:type="dxa"/>
            <w:gridSpan w:val="6"/>
            <w:tcBorders>
              <w:top w:val="nil"/>
              <w:left w:val="nil"/>
              <w:bottom w:val="nil"/>
              <w:right w:val="nil"/>
            </w:tcBorders>
            <w:shd w:val="clear" w:color="auto" w:fill="auto"/>
            <w:noWrap/>
            <w:hideMark/>
          </w:tcPr>
          <w:p w:rsidR="009F4249" w:rsidRDefault="009F4249">
            <w:pPr>
              <w:rPr>
                <w:rFonts w:ascii="Arial" w:hAnsi="Arial" w:cs="Arial"/>
                <w:color w:val="000000"/>
              </w:rPr>
            </w:pPr>
            <w:r>
              <w:rPr>
                <w:rFonts w:ascii="Arial" w:hAnsi="Arial" w:cs="Arial"/>
                <w:color w:val="000000"/>
              </w:rPr>
              <w:t>Višak prihoda iz prethodnih godina</w:t>
            </w:r>
          </w:p>
        </w:tc>
        <w:tc>
          <w:tcPr>
            <w:tcW w:w="428" w:type="dxa"/>
            <w:tcBorders>
              <w:top w:val="nil"/>
              <w:left w:val="nil"/>
              <w:bottom w:val="nil"/>
              <w:right w:val="nil"/>
            </w:tcBorders>
            <w:shd w:val="clear" w:color="auto" w:fill="auto"/>
            <w:noWrap/>
            <w:hideMark/>
          </w:tcPr>
          <w:p w:rsidR="009F4249" w:rsidRDefault="009F4249">
            <w:pPr>
              <w:rPr>
                <w:rFonts w:ascii="Arial" w:hAnsi="Arial" w:cs="Arial"/>
                <w:color w:val="00000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1330"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rPr>
            </w:pPr>
            <w:r>
              <w:rPr>
                <w:rFonts w:ascii="Arial" w:hAnsi="Arial" w:cs="Arial"/>
                <w:color w:val="000000"/>
              </w:rPr>
              <w:t>25.201,74</w:t>
            </w:r>
          </w:p>
        </w:tc>
        <w:tc>
          <w:tcPr>
            <w:tcW w:w="3387" w:type="dxa"/>
            <w:gridSpan w:val="3"/>
            <w:tcBorders>
              <w:top w:val="nil"/>
              <w:left w:val="nil"/>
              <w:bottom w:val="nil"/>
              <w:right w:val="nil"/>
            </w:tcBorders>
            <w:shd w:val="clear" w:color="auto" w:fill="auto"/>
            <w:noWrap/>
            <w:hideMark/>
          </w:tcPr>
          <w:p w:rsidR="009F4249" w:rsidRDefault="009F4249">
            <w:pPr>
              <w:jc w:val="right"/>
              <w:rPr>
                <w:rFonts w:ascii="Arial" w:hAnsi="Arial" w:cs="Arial"/>
                <w:color w:val="000000"/>
              </w:rPr>
            </w:pPr>
            <w:r>
              <w:rPr>
                <w:rFonts w:ascii="Arial" w:hAnsi="Arial" w:cs="Arial"/>
                <w:color w:val="000000"/>
              </w:rPr>
              <w:t>25.201,74</w:t>
            </w:r>
          </w:p>
        </w:tc>
      </w:tr>
      <w:tr w:rsidR="009F4249" w:rsidTr="009F4249">
        <w:trPr>
          <w:trHeight w:val="162"/>
        </w:trPr>
        <w:tc>
          <w:tcPr>
            <w:tcW w:w="794"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739"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83"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83"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902"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1686"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756"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945"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r>
      <w:tr w:rsidR="009F4249" w:rsidTr="009F4249">
        <w:trPr>
          <w:trHeight w:val="312"/>
        </w:trPr>
        <w:tc>
          <w:tcPr>
            <w:tcW w:w="2499" w:type="dxa"/>
            <w:gridSpan w:val="4"/>
            <w:tcBorders>
              <w:top w:val="nil"/>
              <w:left w:val="nil"/>
              <w:bottom w:val="nil"/>
              <w:right w:val="nil"/>
            </w:tcBorders>
            <w:shd w:val="clear" w:color="auto" w:fill="auto"/>
            <w:noWrap/>
            <w:hideMark/>
          </w:tcPr>
          <w:p w:rsidR="009F4249" w:rsidRDefault="009F4249">
            <w:pPr>
              <w:rPr>
                <w:rFonts w:ascii="Arial" w:hAnsi="Arial" w:cs="Arial"/>
                <w:color w:val="000000"/>
              </w:rPr>
            </w:pPr>
            <w:r>
              <w:rPr>
                <w:rFonts w:ascii="Arial" w:hAnsi="Arial" w:cs="Arial"/>
                <w:color w:val="000000"/>
              </w:rPr>
              <w:t>Sveukupno prihodi i primici</w:t>
            </w:r>
          </w:p>
        </w:tc>
        <w:tc>
          <w:tcPr>
            <w:tcW w:w="428" w:type="dxa"/>
            <w:tcBorders>
              <w:top w:val="nil"/>
              <w:left w:val="nil"/>
              <w:bottom w:val="nil"/>
              <w:right w:val="nil"/>
            </w:tcBorders>
            <w:shd w:val="clear" w:color="auto" w:fill="auto"/>
            <w:noWrap/>
            <w:hideMark/>
          </w:tcPr>
          <w:p w:rsidR="009F4249" w:rsidRDefault="009F4249">
            <w:pPr>
              <w:rPr>
                <w:rFonts w:ascii="Arial" w:hAnsi="Arial" w:cs="Arial"/>
                <w:color w:val="00000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2588"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rPr>
            </w:pPr>
            <w:r>
              <w:rPr>
                <w:rFonts w:ascii="Arial" w:hAnsi="Arial" w:cs="Arial"/>
                <w:color w:val="000000"/>
              </w:rPr>
              <w:t>2.600.000,00</w:t>
            </w:r>
          </w:p>
        </w:tc>
        <w:tc>
          <w:tcPr>
            <w:tcW w:w="1701"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rPr>
            </w:pPr>
            <w:r>
              <w:rPr>
                <w:rFonts w:ascii="Arial" w:hAnsi="Arial" w:cs="Arial"/>
                <w:color w:val="000000"/>
              </w:rPr>
              <w:t>1.216.768,96</w:t>
            </w:r>
          </w:p>
        </w:tc>
      </w:tr>
      <w:tr w:rsidR="009F4249" w:rsidTr="009F4249">
        <w:trPr>
          <w:trHeight w:val="356"/>
        </w:trPr>
        <w:tc>
          <w:tcPr>
            <w:tcW w:w="2499" w:type="dxa"/>
            <w:gridSpan w:val="4"/>
            <w:tcBorders>
              <w:top w:val="nil"/>
              <w:left w:val="nil"/>
              <w:bottom w:val="nil"/>
              <w:right w:val="nil"/>
            </w:tcBorders>
            <w:shd w:val="clear" w:color="auto" w:fill="auto"/>
            <w:noWrap/>
            <w:hideMark/>
          </w:tcPr>
          <w:p w:rsidR="009F4249" w:rsidRDefault="009F4249">
            <w:pPr>
              <w:rPr>
                <w:rFonts w:ascii="Arial" w:hAnsi="Arial" w:cs="Arial"/>
                <w:color w:val="000000"/>
              </w:rPr>
            </w:pPr>
            <w:r>
              <w:rPr>
                <w:rFonts w:ascii="Arial" w:hAnsi="Arial" w:cs="Arial"/>
                <w:color w:val="000000"/>
              </w:rPr>
              <w:t>Ukupno rashodi i izdaci</w:t>
            </w:r>
          </w:p>
        </w:tc>
        <w:tc>
          <w:tcPr>
            <w:tcW w:w="428" w:type="dxa"/>
            <w:tcBorders>
              <w:top w:val="nil"/>
              <w:left w:val="nil"/>
              <w:bottom w:val="nil"/>
              <w:right w:val="nil"/>
            </w:tcBorders>
            <w:shd w:val="clear" w:color="auto" w:fill="auto"/>
            <w:noWrap/>
            <w:hideMark/>
          </w:tcPr>
          <w:p w:rsidR="009F4249" w:rsidRDefault="009F4249">
            <w:pPr>
              <w:rPr>
                <w:rFonts w:ascii="Arial" w:hAnsi="Arial" w:cs="Arial"/>
                <w:color w:val="00000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428" w:type="dxa"/>
            <w:tcBorders>
              <w:top w:val="nil"/>
              <w:left w:val="nil"/>
              <w:bottom w:val="nil"/>
              <w:right w:val="nil"/>
            </w:tcBorders>
            <w:shd w:val="clear" w:color="auto" w:fill="auto"/>
            <w:noWrap/>
            <w:hideMark/>
          </w:tcPr>
          <w:p w:rsidR="009F4249" w:rsidRDefault="009F4249">
            <w:pPr>
              <w:rPr>
                <w:sz w:val="20"/>
                <w:szCs w:val="20"/>
              </w:rPr>
            </w:pPr>
          </w:p>
        </w:tc>
        <w:tc>
          <w:tcPr>
            <w:tcW w:w="2588"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rPr>
            </w:pPr>
            <w:r>
              <w:rPr>
                <w:rFonts w:ascii="Arial" w:hAnsi="Arial" w:cs="Arial"/>
                <w:color w:val="000000"/>
              </w:rPr>
              <w:t>2.600.000,00</w:t>
            </w:r>
          </w:p>
        </w:tc>
        <w:tc>
          <w:tcPr>
            <w:tcW w:w="1701" w:type="dxa"/>
            <w:gridSpan w:val="2"/>
            <w:tcBorders>
              <w:top w:val="nil"/>
              <w:left w:val="nil"/>
              <w:bottom w:val="nil"/>
              <w:right w:val="nil"/>
            </w:tcBorders>
            <w:shd w:val="clear" w:color="auto" w:fill="auto"/>
            <w:noWrap/>
            <w:hideMark/>
          </w:tcPr>
          <w:p w:rsidR="009F4249" w:rsidRDefault="009F4249">
            <w:pPr>
              <w:jc w:val="right"/>
              <w:rPr>
                <w:rFonts w:ascii="Arial" w:hAnsi="Arial" w:cs="Arial"/>
                <w:color w:val="000000"/>
              </w:rPr>
            </w:pPr>
            <w:r>
              <w:rPr>
                <w:rFonts w:ascii="Arial" w:hAnsi="Arial" w:cs="Arial"/>
                <w:color w:val="000000"/>
              </w:rPr>
              <w:t>1.035.890,75</w:t>
            </w:r>
          </w:p>
        </w:tc>
      </w:tr>
      <w:tr w:rsidR="009F4249" w:rsidTr="009F4249">
        <w:trPr>
          <w:trHeight w:val="239"/>
        </w:trPr>
        <w:tc>
          <w:tcPr>
            <w:tcW w:w="3355" w:type="dxa"/>
            <w:gridSpan w:val="6"/>
            <w:tcBorders>
              <w:top w:val="single" w:sz="4" w:space="0" w:color="000000"/>
              <w:left w:val="nil"/>
              <w:bottom w:val="nil"/>
              <w:right w:val="nil"/>
            </w:tcBorders>
            <w:shd w:val="clear" w:color="auto" w:fill="auto"/>
            <w:noWrap/>
            <w:hideMark/>
          </w:tcPr>
          <w:p w:rsidR="009F4249" w:rsidRDefault="009F4249">
            <w:pPr>
              <w:rPr>
                <w:rFonts w:ascii="Arial" w:hAnsi="Arial" w:cs="Arial"/>
                <w:b/>
                <w:bCs/>
                <w:color w:val="000000"/>
              </w:rPr>
            </w:pPr>
            <w:r>
              <w:rPr>
                <w:rFonts w:ascii="Arial" w:hAnsi="Arial" w:cs="Arial"/>
                <w:b/>
                <w:bCs/>
                <w:color w:val="000000"/>
              </w:rPr>
              <w:t>Višak/Manjak + Neto financiranje</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428"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902" w:type="dxa"/>
            <w:tcBorders>
              <w:top w:val="single" w:sz="4" w:space="0" w:color="000000"/>
              <w:left w:val="nil"/>
              <w:bottom w:val="nil"/>
              <w:right w:val="nil"/>
            </w:tcBorders>
            <w:shd w:val="clear" w:color="auto" w:fill="auto"/>
            <w:noWrap/>
            <w:hideMark/>
          </w:tcPr>
          <w:p w:rsidR="009F4249" w:rsidRDefault="009F4249">
            <w:pPr>
              <w:rPr>
                <w:rFonts w:ascii="Calibri" w:hAnsi="Calibri" w:cs="Calibri"/>
                <w:color w:val="000000"/>
                <w:sz w:val="22"/>
                <w:szCs w:val="22"/>
              </w:rPr>
            </w:pPr>
            <w:r>
              <w:rPr>
                <w:rFonts w:ascii="Calibri" w:hAnsi="Calibri" w:cs="Calibri"/>
                <w:color w:val="000000"/>
                <w:sz w:val="22"/>
                <w:szCs w:val="22"/>
              </w:rPr>
              <w:t> </w:t>
            </w:r>
          </w:p>
        </w:tc>
        <w:tc>
          <w:tcPr>
            <w:tcW w:w="1686" w:type="dxa"/>
            <w:tcBorders>
              <w:top w:val="single" w:sz="4" w:space="0" w:color="000000"/>
              <w:left w:val="nil"/>
              <w:bottom w:val="nil"/>
              <w:right w:val="nil"/>
            </w:tcBorders>
            <w:shd w:val="clear" w:color="auto" w:fill="auto"/>
            <w:noWrap/>
            <w:hideMark/>
          </w:tcPr>
          <w:p w:rsidR="009F4249" w:rsidRDefault="009F4249">
            <w:pPr>
              <w:jc w:val="right"/>
              <w:rPr>
                <w:rFonts w:ascii="Arial" w:hAnsi="Arial" w:cs="Arial"/>
                <w:b/>
                <w:bCs/>
                <w:color w:val="000000"/>
              </w:rPr>
            </w:pPr>
            <w:r>
              <w:rPr>
                <w:rFonts w:ascii="Arial" w:hAnsi="Arial" w:cs="Arial"/>
                <w:b/>
                <w:bCs/>
                <w:color w:val="000000"/>
              </w:rPr>
              <w:t>0,00</w:t>
            </w:r>
          </w:p>
        </w:tc>
        <w:tc>
          <w:tcPr>
            <w:tcW w:w="1701" w:type="dxa"/>
            <w:gridSpan w:val="2"/>
            <w:tcBorders>
              <w:top w:val="single" w:sz="4" w:space="0" w:color="000000"/>
              <w:left w:val="nil"/>
              <w:bottom w:val="nil"/>
              <w:right w:val="nil"/>
            </w:tcBorders>
            <w:shd w:val="clear" w:color="auto" w:fill="auto"/>
            <w:noWrap/>
            <w:hideMark/>
          </w:tcPr>
          <w:p w:rsidR="009F4249" w:rsidRDefault="009F4249">
            <w:pPr>
              <w:jc w:val="right"/>
              <w:rPr>
                <w:rFonts w:ascii="Arial" w:hAnsi="Arial" w:cs="Arial"/>
                <w:b/>
                <w:bCs/>
                <w:color w:val="000000"/>
              </w:rPr>
            </w:pPr>
            <w:r>
              <w:rPr>
                <w:rFonts w:ascii="Arial" w:hAnsi="Arial" w:cs="Arial"/>
                <w:b/>
                <w:bCs/>
                <w:color w:val="000000"/>
              </w:rPr>
              <w:t>180.878,21</w:t>
            </w:r>
          </w:p>
        </w:tc>
      </w:tr>
    </w:tbl>
    <w:p w:rsidR="009F4249" w:rsidRDefault="009F4249" w:rsidP="009F4249">
      <w:pPr>
        <w:jc w:val="both"/>
        <w:outlineLvl w:val="0"/>
        <w:rPr>
          <w:sz w:val="22"/>
          <w:szCs w:val="22"/>
        </w:rPr>
      </w:pPr>
    </w:p>
    <w:p w:rsidR="009F4249" w:rsidRDefault="009F4249" w:rsidP="009F4249">
      <w:pPr>
        <w:jc w:val="both"/>
        <w:outlineLvl w:val="0"/>
        <w:rPr>
          <w:sz w:val="22"/>
          <w:szCs w:val="22"/>
        </w:rPr>
      </w:pPr>
    </w:p>
    <w:p w:rsidR="009F4249" w:rsidRPr="00073F1C" w:rsidRDefault="009F4249" w:rsidP="009F4249">
      <w:pPr>
        <w:pStyle w:val="Odlomakpopisa"/>
        <w:numPr>
          <w:ilvl w:val="0"/>
          <w:numId w:val="21"/>
        </w:numPr>
        <w:jc w:val="both"/>
        <w:outlineLvl w:val="0"/>
        <w:rPr>
          <w:b/>
          <w:sz w:val="22"/>
          <w:szCs w:val="22"/>
        </w:rPr>
      </w:pPr>
      <w:r w:rsidRPr="00073F1C">
        <w:rPr>
          <w:b/>
          <w:sz w:val="22"/>
          <w:szCs w:val="22"/>
        </w:rPr>
        <w:t>PRIHODI POSLOVANJA</w:t>
      </w:r>
      <w:r w:rsidR="00E96184">
        <w:rPr>
          <w:b/>
          <w:sz w:val="22"/>
          <w:szCs w:val="22"/>
        </w:rPr>
        <w:t xml:space="preserve"> = 1.155.313,10 EUR</w:t>
      </w:r>
    </w:p>
    <w:p w:rsidR="009F4249" w:rsidRDefault="009F4249" w:rsidP="009F4249">
      <w:pPr>
        <w:jc w:val="both"/>
        <w:outlineLvl w:val="0"/>
        <w:rPr>
          <w:sz w:val="22"/>
          <w:szCs w:val="22"/>
        </w:rPr>
      </w:pPr>
    </w:p>
    <w:p w:rsidR="009F4249" w:rsidRDefault="009F4249" w:rsidP="009F4249">
      <w:pPr>
        <w:jc w:val="both"/>
        <w:outlineLvl w:val="0"/>
        <w:rPr>
          <w:sz w:val="22"/>
          <w:szCs w:val="22"/>
        </w:rPr>
      </w:pPr>
      <w:r>
        <w:rPr>
          <w:sz w:val="22"/>
          <w:szCs w:val="22"/>
        </w:rPr>
        <w:t xml:space="preserve">Kod prihoda poslovanja najznačajniji prihod je prihod od poreza na dohodak od nesamostalnog rada i drugih samostalnih djelatnosti u iznosu od 379.308,74 EUR odnosno izvršenje prema Planu 75,86%. Uspoređujući prošlu godinu s osnove navedenog prihoda ostvarili smo više za 101.335,26 EUR odnosno 136,50%. </w:t>
      </w:r>
    </w:p>
    <w:p w:rsidR="00073F1C" w:rsidRDefault="00073F1C" w:rsidP="009F4249">
      <w:pPr>
        <w:jc w:val="both"/>
        <w:outlineLvl w:val="0"/>
        <w:rPr>
          <w:sz w:val="22"/>
          <w:szCs w:val="22"/>
        </w:rPr>
      </w:pPr>
    </w:p>
    <w:p w:rsidR="00955AFA" w:rsidRDefault="00955AFA" w:rsidP="009F4249">
      <w:pPr>
        <w:jc w:val="both"/>
        <w:outlineLvl w:val="0"/>
        <w:rPr>
          <w:sz w:val="22"/>
          <w:szCs w:val="22"/>
        </w:rPr>
      </w:pPr>
      <w:r>
        <w:rPr>
          <w:sz w:val="22"/>
          <w:szCs w:val="22"/>
        </w:rPr>
        <w:t xml:space="preserve">Na dan 31.12.2022. dug za namirenje nedostajućih sredstava i povrat namirenja sa računa 17 iznosio je 19.950,28 EUR i to je naplaćeno u 4 obroka tokom 2023. godine po 4.987,57 EUR dana 9.1., 07.02., 07.03 i 06.04.2023. U 2022. godine, a po dugu za 2021. za isto je podmireno 37.214,25 EUR. </w:t>
      </w:r>
    </w:p>
    <w:p w:rsidR="00073F1C" w:rsidRDefault="00073F1C" w:rsidP="009F4249">
      <w:pPr>
        <w:jc w:val="both"/>
        <w:outlineLvl w:val="0"/>
        <w:rPr>
          <w:sz w:val="22"/>
          <w:szCs w:val="22"/>
        </w:rPr>
      </w:pPr>
    </w:p>
    <w:p w:rsidR="00073F1C" w:rsidRDefault="00073F1C" w:rsidP="009F4249">
      <w:pPr>
        <w:jc w:val="both"/>
        <w:outlineLvl w:val="0"/>
        <w:rPr>
          <w:sz w:val="22"/>
          <w:szCs w:val="22"/>
        </w:rPr>
      </w:pPr>
      <w:r>
        <w:rPr>
          <w:sz w:val="22"/>
          <w:szCs w:val="22"/>
        </w:rPr>
        <w:t xml:space="preserve">Za tekuće pomoći iz državnog proračuna planirali smo 265.445,62 EUR, a ostvareno je više od planiranog odnosno 267.036,81 EUR. Prihod od tekućih pomoći iz državnog proračuna obuhvaća 256.367,00 EUR fiskalnog izravnanja iz državnog proračuna, 3.319,10 EUR za elementarnu nepogodu – nerazvrstane ceste i poljske puteve koje je prijavila Općina, zatim 4.971,00 EUR za fiskalnu održivost vrtića prema Odluci vlade, 2.095,13 EUR za funkcionalno spajanje JLS kao  i 284,58 EUR za troškove stanovanja za korisnike ZMN. Međimurska županija isplatila nam je 1.917,50 EUR za pomoć za tretiranje komaraca u 2023. godini. </w:t>
      </w:r>
    </w:p>
    <w:p w:rsidR="000B5C5D" w:rsidRDefault="000B5C5D" w:rsidP="009F4249">
      <w:pPr>
        <w:jc w:val="both"/>
        <w:outlineLvl w:val="0"/>
        <w:rPr>
          <w:sz w:val="22"/>
          <w:szCs w:val="22"/>
        </w:rPr>
      </w:pPr>
    </w:p>
    <w:p w:rsidR="000B5C5D" w:rsidRDefault="000B5C5D" w:rsidP="009F4249">
      <w:pPr>
        <w:jc w:val="both"/>
        <w:outlineLvl w:val="0"/>
        <w:rPr>
          <w:sz w:val="22"/>
          <w:szCs w:val="22"/>
        </w:rPr>
      </w:pPr>
      <w:r>
        <w:rPr>
          <w:sz w:val="22"/>
          <w:szCs w:val="22"/>
        </w:rPr>
        <w:t>U 2024. godini aplicirali smo razne projekte na Ministarstva gdje smo planirali sredstva u iznosu od 150.000,00 EUR. Planirali smo dobiti više sredstava od Ministarstva hrvatskih branitelja jer smo aplicirali projekt uređenja trga i spomen ploče branitelja, a dobili smo sredstva samo za spomen ploču stoga je od planiranih kapitalnih pomoći iz državnog proračuna ostvareno 77,91%.</w:t>
      </w:r>
    </w:p>
    <w:p w:rsidR="000B5C5D" w:rsidRDefault="000B5C5D" w:rsidP="009F4249">
      <w:pPr>
        <w:jc w:val="both"/>
        <w:outlineLvl w:val="0"/>
        <w:rPr>
          <w:sz w:val="22"/>
          <w:szCs w:val="22"/>
        </w:rPr>
      </w:pPr>
      <w:r>
        <w:rPr>
          <w:sz w:val="22"/>
          <w:szCs w:val="22"/>
        </w:rPr>
        <w:lastRenderedPageBreak/>
        <w:t xml:space="preserve">Ostvareno je 116.864,54 EUR, a odnosi se na: 29.200,00 EUR za uređenje mjesnog groblja 3. faza od Ministarstva prostornog uređenja, graditeljstva, 40.000,00 EUR od ministarstva Regionalnog razvoja i fondova EU za Pješačku stazu s odvodnjom u ulici Dr. Vinka Žganca, 13.794,00 EUR Središnjeg državnog ureda za demografiju i mlade za Dječji vrtić Srčeko, nadalje 23.056,25 EUR za izgradnju dječjeg igrališta u DV Srčeko. Tu je također manje od zaključenog Ugovora jer nismo ugradili nekoliko igrala pa je Ured smanjio isplatu za navedene stavke. Za Projekt spomen ploče dobili smo 11.000,00 EUR. </w:t>
      </w:r>
    </w:p>
    <w:p w:rsidR="000B5C5D" w:rsidRDefault="000B5C5D" w:rsidP="009F4249">
      <w:pPr>
        <w:jc w:val="both"/>
        <w:outlineLvl w:val="0"/>
        <w:rPr>
          <w:sz w:val="22"/>
          <w:szCs w:val="22"/>
        </w:rPr>
      </w:pPr>
      <w:r>
        <w:rPr>
          <w:sz w:val="22"/>
          <w:szCs w:val="22"/>
        </w:rPr>
        <w:t xml:space="preserve">Za županiju smo planirali 20.600,00 EUR za projekt Spomen sobe Dr. Vinka Žganca što nije ostvareno, već smo od istih dobili isplatu od 2.654,46 EUR za spomenik Dr. Vinka Žganca u Vratišincu što je županija trebala isplatiti u 2022. godini po ugovoru. </w:t>
      </w:r>
    </w:p>
    <w:p w:rsidR="000B5C5D" w:rsidRDefault="000B5C5D" w:rsidP="009F4249">
      <w:pPr>
        <w:jc w:val="both"/>
        <w:outlineLvl w:val="0"/>
        <w:rPr>
          <w:sz w:val="22"/>
          <w:szCs w:val="22"/>
        </w:rPr>
      </w:pPr>
    </w:p>
    <w:p w:rsidR="000B5C5D" w:rsidRDefault="000B5C5D" w:rsidP="009F4249">
      <w:pPr>
        <w:jc w:val="both"/>
        <w:outlineLvl w:val="0"/>
        <w:rPr>
          <w:sz w:val="22"/>
          <w:szCs w:val="22"/>
        </w:rPr>
      </w:pPr>
      <w:r>
        <w:rPr>
          <w:sz w:val="22"/>
          <w:szCs w:val="22"/>
        </w:rPr>
        <w:t>Općina Vratišinec i Županijska uprava za ceste potpisale su sporazum za sufinanciranje izgradnje pješačke staze s odvodnjom u ulici Dr. Vinka Žganca u Vratišincu. Sukladno Sporazumu ŽUC je sufinancirao radove u iznosu od 92.950,00 EUR što predstavlja prihod kapitalnih pomoći od izvanproračunskih korisnika županijskog proračuna. Nadalje Međimurske vode isplatile su nam 57.911,75 EUR za projekt Aglomeracije Mursko Središće.</w:t>
      </w:r>
    </w:p>
    <w:p w:rsidR="000B5C5D" w:rsidRDefault="000B5C5D" w:rsidP="009F4249">
      <w:pPr>
        <w:jc w:val="both"/>
        <w:outlineLvl w:val="0"/>
        <w:rPr>
          <w:sz w:val="22"/>
          <w:szCs w:val="22"/>
        </w:rPr>
      </w:pPr>
      <w:r>
        <w:rPr>
          <w:sz w:val="22"/>
          <w:szCs w:val="22"/>
        </w:rPr>
        <w:t xml:space="preserve">U iznosu od 10.500,00 EUR što predstavlja 1. obrok </w:t>
      </w:r>
      <w:r w:rsidR="00885C5E">
        <w:rPr>
          <w:sz w:val="22"/>
          <w:szCs w:val="22"/>
        </w:rPr>
        <w:t>GRAD Čakovec isplatio nam je sufinanciranje radova na mjesnom groblju u 2023. godini, a sve prema Sporazumu između Općine Vratišinec i Grada Čakovca. 2. obrok grad će isplatiti u 2024. godini. Ukupno prihoda 161.361,75 EUR odnosno ostvarenje od 80,68%.</w:t>
      </w:r>
    </w:p>
    <w:p w:rsidR="00885C5E" w:rsidRDefault="00885C5E" w:rsidP="009F4249">
      <w:pPr>
        <w:jc w:val="both"/>
        <w:outlineLvl w:val="0"/>
        <w:rPr>
          <w:sz w:val="22"/>
          <w:szCs w:val="22"/>
        </w:rPr>
      </w:pPr>
    </w:p>
    <w:p w:rsidR="00885C5E" w:rsidRDefault="00885C5E" w:rsidP="009F4249">
      <w:pPr>
        <w:jc w:val="both"/>
        <w:outlineLvl w:val="0"/>
        <w:rPr>
          <w:sz w:val="22"/>
          <w:szCs w:val="22"/>
        </w:rPr>
      </w:pPr>
      <w:r>
        <w:rPr>
          <w:sz w:val="22"/>
          <w:szCs w:val="22"/>
        </w:rPr>
        <w:t>Projekt uređenja dječjeg igrališta Školska započeo je u 2022. godini. Nakon izvršene kontrole u 2023. godini za isto je isplaćeno 26.544,56 EUR. Planirano je 940.000,00 EUR, a isto nije ostvareno jer nisu isplaćena sredstva za izgradnju matičnog vrtića u Vratišincu. Radovi na izgradnji započeli u 2024. godini.</w:t>
      </w:r>
    </w:p>
    <w:p w:rsidR="00885C5E" w:rsidRDefault="00885C5E" w:rsidP="009F4249">
      <w:pPr>
        <w:jc w:val="both"/>
        <w:outlineLvl w:val="0"/>
        <w:rPr>
          <w:sz w:val="22"/>
          <w:szCs w:val="22"/>
        </w:rPr>
      </w:pPr>
    </w:p>
    <w:p w:rsidR="00885C5E" w:rsidRDefault="00885C5E" w:rsidP="009F4249">
      <w:pPr>
        <w:jc w:val="both"/>
        <w:outlineLvl w:val="0"/>
        <w:rPr>
          <w:sz w:val="22"/>
          <w:szCs w:val="22"/>
        </w:rPr>
      </w:pPr>
      <w:r>
        <w:rPr>
          <w:sz w:val="22"/>
          <w:szCs w:val="22"/>
        </w:rPr>
        <w:t xml:space="preserve">Međimurje plin isplatio nam je dobit u iznosu od 5.308,91 EUR, što je za 116,80% više u odnosu na 2022. godinu. </w:t>
      </w:r>
    </w:p>
    <w:p w:rsidR="00D37E29" w:rsidRDefault="00D37E29" w:rsidP="009F4249">
      <w:pPr>
        <w:jc w:val="both"/>
        <w:outlineLvl w:val="0"/>
        <w:rPr>
          <w:sz w:val="22"/>
          <w:szCs w:val="22"/>
        </w:rPr>
      </w:pPr>
    </w:p>
    <w:p w:rsidR="00D37E29" w:rsidRDefault="00D37E29" w:rsidP="009F4249">
      <w:pPr>
        <w:jc w:val="both"/>
        <w:outlineLvl w:val="0"/>
        <w:rPr>
          <w:sz w:val="22"/>
          <w:szCs w:val="22"/>
        </w:rPr>
      </w:pPr>
      <w:r>
        <w:rPr>
          <w:sz w:val="22"/>
          <w:szCs w:val="22"/>
        </w:rPr>
        <w:t xml:space="preserve">Naknadu od INE uprihodili smo u iznosu od 102.005,22 EUR. Planirali smo 180.000,00 EUR prema podacima iz prošle godine, no u 2023. godini uprihodili smo još manje. U odnosu na 2022. godinu manje za 97.975,65 EUR. </w:t>
      </w:r>
    </w:p>
    <w:p w:rsidR="00D37E29" w:rsidRDefault="00D37E29" w:rsidP="009F4249">
      <w:pPr>
        <w:jc w:val="both"/>
        <w:outlineLvl w:val="0"/>
        <w:rPr>
          <w:sz w:val="22"/>
          <w:szCs w:val="22"/>
        </w:rPr>
      </w:pPr>
    </w:p>
    <w:p w:rsidR="00D37E29" w:rsidRDefault="00D37E29" w:rsidP="009F4249">
      <w:pPr>
        <w:jc w:val="both"/>
        <w:outlineLvl w:val="0"/>
        <w:rPr>
          <w:sz w:val="22"/>
          <w:szCs w:val="22"/>
        </w:rPr>
      </w:pPr>
      <w:r>
        <w:rPr>
          <w:sz w:val="22"/>
          <w:szCs w:val="22"/>
        </w:rPr>
        <w:t xml:space="preserve">Od legalizacije smo uprihodili 100,05 EUR, a radi se o krivo plaćenoj legalizaciji. Nije postupak iz Međimurske županije. </w:t>
      </w:r>
    </w:p>
    <w:p w:rsidR="00D37E29" w:rsidRDefault="00D37E29" w:rsidP="009F4249">
      <w:pPr>
        <w:jc w:val="both"/>
        <w:outlineLvl w:val="0"/>
        <w:rPr>
          <w:sz w:val="22"/>
          <w:szCs w:val="22"/>
        </w:rPr>
      </w:pPr>
    </w:p>
    <w:p w:rsidR="00D37E29" w:rsidRDefault="00D37E29" w:rsidP="009F4249">
      <w:pPr>
        <w:jc w:val="both"/>
        <w:outlineLvl w:val="0"/>
        <w:rPr>
          <w:sz w:val="22"/>
          <w:szCs w:val="22"/>
        </w:rPr>
      </w:pPr>
      <w:r>
        <w:rPr>
          <w:sz w:val="22"/>
          <w:szCs w:val="22"/>
        </w:rPr>
        <w:t xml:space="preserve">Konto 6526 - Višenamjenska autocisterna bila je na dislokaciji u Dalmaciji, pa smo iz Državnog proračuna dobili 605,07 EUR povrata sredstava za troškove tehničkog pregleda i troškove servisa vozila. </w:t>
      </w:r>
    </w:p>
    <w:p w:rsidR="00D37E29" w:rsidRDefault="00D37E29" w:rsidP="009F4249">
      <w:pPr>
        <w:jc w:val="both"/>
        <w:outlineLvl w:val="0"/>
        <w:rPr>
          <w:sz w:val="22"/>
          <w:szCs w:val="22"/>
        </w:rPr>
      </w:pPr>
    </w:p>
    <w:p w:rsidR="00D37E29" w:rsidRDefault="00D37E29" w:rsidP="009F4249">
      <w:pPr>
        <w:jc w:val="both"/>
        <w:outlineLvl w:val="0"/>
        <w:rPr>
          <w:sz w:val="22"/>
          <w:szCs w:val="22"/>
        </w:rPr>
      </w:pPr>
      <w:r>
        <w:rPr>
          <w:sz w:val="22"/>
          <w:szCs w:val="22"/>
        </w:rPr>
        <w:t xml:space="preserve">Što se tiče kazni 6819 u 2023. godini naplaćene su kazne od 3 prekršitelja prema Prekršajnom nalogu komunalnog redara s time da se jedna odnosi na kaznu iz 2022. godine. </w:t>
      </w:r>
    </w:p>
    <w:p w:rsidR="00D37E29" w:rsidRDefault="00D37E29" w:rsidP="00D37E29">
      <w:pPr>
        <w:pStyle w:val="Odlomakpopisa"/>
        <w:numPr>
          <w:ilvl w:val="0"/>
          <w:numId w:val="20"/>
        </w:numPr>
        <w:jc w:val="both"/>
        <w:outlineLvl w:val="0"/>
        <w:rPr>
          <w:sz w:val="22"/>
          <w:szCs w:val="22"/>
        </w:rPr>
      </w:pPr>
      <w:r>
        <w:rPr>
          <w:sz w:val="22"/>
          <w:szCs w:val="22"/>
        </w:rPr>
        <w:t>Iz 2022. godine – 79,63 EUR</w:t>
      </w:r>
    </w:p>
    <w:p w:rsidR="00D37E29" w:rsidRDefault="00D37E29" w:rsidP="00D37E29">
      <w:pPr>
        <w:pStyle w:val="Odlomakpopisa"/>
        <w:numPr>
          <w:ilvl w:val="0"/>
          <w:numId w:val="20"/>
        </w:numPr>
        <w:jc w:val="both"/>
        <w:outlineLvl w:val="0"/>
        <w:rPr>
          <w:sz w:val="22"/>
          <w:szCs w:val="22"/>
        </w:rPr>
      </w:pPr>
      <w:r>
        <w:rPr>
          <w:sz w:val="22"/>
          <w:szCs w:val="22"/>
        </w:rPr>
        <w:t xml:space="preserve">Iz 2023. godine – 88,48 EUR, 101,75 EUR i </w:t>
      </w:r>
      <w:r w:rsidRPr="00D37E29">
        <w:rPr>
          <w:sz w:val="22"/>
          <w:szCs w:val="22"/>
        </w:rPr>
        <w:t xml:space="preserve"> </w:t>
      </w:r>
      <w:r>
        <w:rPr>
          <w:sz w:val="22"/>
          <w:szCs w:val="22"/>
        </w:rPr>
        <w:t>101,75 EUR.</w:t>
      </w:r>
    </w:p>
    <w:p w:rsidR="00D37E29" w:rsidRDefault="00D37E29" w:rsidP="00D37E29">
      <w:pPr>
        <w:jc w:val="both"/>
        <w:outlineLvl w:val="0"/>
        <w:rPr>
          <w:sz w:val="22"/>
          <w:szCs w:val="22"/>
        </w:rPr>
      </w:pPr>
    </w:p>
    <w:p w:rsidR="00D37E29" w:rsidRPr="00D37E29" w:rsidRDefault="00D37E29" w:rsidP="00D37E29">
      <w:pPr>
        <w:pStyle w:val="Odlomakpopisa"/>
        <w:numPr>
          <w:ilvl w:val="0"/>
          <w:numId w:val="21"/>
        </w:numPr>
        <w:jc w:val="both"/>
        <w:outlineLvl w:val="0"/>
        <w:rPr>
          <w:b/>
          <w:sz w:val="22"/>
          <w:szCs w:val="22"/>
        </w:rPr>
      </w:pPr>
      <w:r w:rsidRPr="00D37E29">
        <w:rPr>
          <w:b/>
          <w:sz w:val="22"/>
          <w:szCs w:val="22"/>
        </w:rPr>
        <w:t>PRIHODI OD PRODAJE NEFINANCIJSKE IMOVINE</w:t>
      </w:r>
      <w:r w:rsidR="00E96184">
        <w:rPr>
          <w:b/>
          <w:sz w:val="22"/>
          <w:szCs w:val="22"/>
        </w:rPr>
        <w:t xml:space="preserve"> = 36.254,12 EUR</w:t>
      </w:r>
    </w:p>
    <w:p w:rsidR="00D37E29" w:rsidRDefault="00D37E29" w:rsidP="00D37E29">
      <w:pPr>
        <w:jc w:val="both"/>
        <w:outlineLvl w:val="0"/>
        <w:rPr>
          <w:sz w:val="22"/>
          <w:szCs w:val="22"/>
        </w:rPr>
      </w:pPr>
    </w:p>
    <w:p w:rsidR="00D37E29" w:rsidRDefault="00D37E29" w:rsidP="00D37E29">
      <w:pPr>
        <w:jc w:val="both"/>
        <w:outlineLvl w:val="0"/>
        <w:rPr>
          <w:sz w:val="22"/>
          <w:szCs w:val="22"/>
        </w:rPr>
      </w:pPr>
      <w:r>
        <w:rPr>
          <w:sz w:val="22"/>
          <w:szCs w:val="22"/>
        </w:rPr>
        <w:t xml:space="preserve">Zemljište – s osnove prodaje zemljišta u 2023. godini uprihodili smo 34.435,61 EUR što je više u odnosu na 2022. za 378,8% odnosno 25.344,10 EUR. Radi se o poljoprivrednim površinama i jednom građevinskom zemljištu. Sve prodane čestice ošasna su imovina općine Vratišinec. Poljoprivredno zemljište 23.835,61 EUR, a građevinsko zemljište 10.600,00 EUR. Prodaja se vršila prema javnom nadmetanju. </w:t>
      </w:r>
    </w:p>
    <w:p w:rsidR="006123CE" w:rsidRDefault="006123CE" w:rsidP="00D37E29">
      <w:pPr>
        <w:jc w:val="both"/>
        <w:outlineLvl w:val="0"/>
        <w:rPr>
          <w:sz w:val="22"/>
          <w:szCs w:val="22"/>
        </w:rPr>
      </w:pPr>
    </w:p>
    <w:p w:rsidR="006123CE" w:rsidRDefault="006123CE" w:rsidP="00D37E29">
      <w:pPr>
        <w:jc w:val="both"/>
        <w:outlineLvl w:val="0"/>
        <w:rPr>
          <w:sz w:val="22"/>
          <w:szCs w:val="22"/>
        </w:rPr>
      </w:pPr>
      <w:r>
        <w:rPr>
          <w:sz w:val="22"/>
          <w:szCs w:val="22"/>
        </w:rPr>
        <w:t>U 2023. godini od stanarskog prava ostvarili smo prihod u iznosu od 1.818,51 EUR, dok smo u 2022. godini za isto ostvarili 3.665,87 EUR.</w:t>
      </w:r>
    </w:p>
    <w:p w:rsidR="00E96184" w:rsidRDefault="00E96184" w:rsidP="00D37E29">
      <w:pPr>
        <w:jc w:val="both"/>
        <w:outlineLvl w:val="0"/>
        <w:rPr>
          <w:sz w:val="22"/>
          <w:szCs w:val="22"/>
        </w:rPr>
      </w:pPr>
    </w:p>
    <w:p w:rsidR="006123CE" w:rsidRDefault="006123CE" w:rsidP="00D37E29">
      <w:pPr>
        <w:jc w:val="both"/>
        <w:outlineLvl w:val="0"/>
        <w:rPr>
          <w:sz w:val="22"/>
          <w:szCs w:val="22"/>
        </w:rPr>
      </w:pPr>
    </w:p>
    <w:p w:rsidR="006123CE" w:rsidRDefault="006123CE" w:rsidP="006123CE">
      <w:pPr>
        <w:pStyle w:val="Odlomakpopisa"/>
        <w:numPr>
          <w:ilvl w:val="0"/>
          <w:numId w:val="21"/>
        </w:numPr>
        <w:jc w:val="both"/>
        <w:outlineLvl w:val="0"/>
        <w:rPr>
          <w:b/>
          <w:sz w:val="22"/>
          <w:szCs w:val="22"/>
        </w:rPr>
      </w:pPr>
      <w:r w:rsidRPr="000B0974">
        <w:rPr>
          <w:b/>
          <w:sz w:val="22"/>
          <w:szCs w:val="22"/>
        </w:rPr>
        <w:t>RASHODI POSLOVANJA</w:t>
      </w:r>
      <w:r w:rsidR="00E96184">
        <w:rPr>
          <w:b/>
          <w:sz w:val="22"/>
          <w:szCs w:val="22"/>
        </w:rPr>
        <w:t xml:space="preserve"> = 526.062,59 EUR</w:t>
      </w:r>
    </w:p>
    <w:p w:rsidR="00E96184" w:rsidRDefault="00E96184" w:rsidP="00E96184">
      <w:pPr>
        <w:jc w:val="both"/>
        <w:outlineLvl w:val="0"/>
        <w:rPr>
          <w:b/>
          <w:sz w:val="22"/>
          <w:szCs w:val="22"/>
        </w:rPr>
      </w:pPr>
    </w:p>
    <w:p w:rsidR="000B0974" w:rsidRDefault="00E96184" w:rsidP="000B0974">
      <w:pPr>
        <w:jc w:val="both"/>
        <w:outlineLvl w:val="0"/>
        <w:rPr>
          <w:sz w:val="22"/>
          <w:szCs w:val="22"/>
        </w:rPr>
      </w:pPr>
      <w:r>
        <w:rPr>
          <w:sz w:val="22"/>
          <w:szCs w:val="22"/>
        </w:rPr>
        <w:t xml:space="preserve">Za plaće za redovan rad 3111 u razdoblju od 01.01.2023. do 31.12.2023. potrošeno je 55.311,51 EUR što je za 2.764,70 EUR manje u odnosu na prošlu godinu. U 2023. godini pročelnica Jedinstvenog upravnog odjel dala je otkaz te napustila službu u JUO Vratišinec. Od ukupno utrošenih sredstava za plaće za redovan rad za plaću načelnika utrošeno je 18.890,47 EUR, za plaće službenika i namještenika </w:t>
      </w:r>
      <w:r w:rsidR="00C474A5">
        <w:rPr>
          <w:sz w:val="22"/>
          <w:szCs w:val="22"/>
        </w:rPr>
        <w:t xml:space="preserve">32.909,87 EUR i za plaću djelatnice na javnim radovima 3.511,17 EUR. </w:t>
      </w:r>
    </w:p>
    <w:p w:rsidR="00C474A5" w:rsidRDefault="00C474A5" w:rsidP="000B0974">
      <w:pPr>
        <w:jc w:val="both"/>
        <w:outlineLvl w:val="0"/>
        <w:rPr>
          <w:sz w:val="22"/>
          <w:szCs w:val="22"/>
        </w:rPr>
      </w:pPr>
    </w:p>
    <w:p w:rsidR="00C474A5" w:rsidRDefault="00C474A5" w:rsidP="000B0974">
      <w:pPr>
        <w:jc w:val="both"/>
        <w:outlineLvl w:val="0"/>
        <w:rPr>
          <w:sz w:val="22"/>
          <w:szCs w:val="22"/>
        </w:rPr>
      </w:pPr>
      <w:r>
        <w:rPr>
          <w:sz w:val="22"/>
          <w:szCs w:val="22"/>
        </w:rPr>
        <w:t>3113 plaće za prekovremeni rad u iznosu od 372,65%, a trošak se odnosi na prekovremeni rad službenika na sjednica Općinskog vijeća (koje se održavaju u večernjim satima) i prekovremeni rad dostavljačice-spremačice koja određuje pripreme za manifestacije u organizaciji općine i slično.</w:t>
      </w:r>
    </w:p>
    <w:p w:rsidR="00C474A5" w:rsidRDefault="00C474A5" w:rsidP="000B0974">
      <w:pPr>
        <w:jc w:val="both"/>
        <w:outlineLvl w:val="0"/>
        <w:rPr>
          <w:sz w:val="22"/>
          <w:szCs w:val="22"/>
        </w:rPr>
      </w:pPr>
    </w:p>
    <w:p w:rsidR="00C474A5" w:rsidRDefault="00C474A5" w:rsidP="000B0974">
      <w:pPr>
        <w:jc w:val="both"/>
        <w:outlineLvl w:val="0"/>
        <w:rPr>
          <w:sz w:val="22"/>
          <w:szCs w:val="22"/>
        </w:rPr>
      </w:pPr>
      <w:r>
        <w:rPr>
          <w:sz w:val="22"/>
          <w:szCs w:val="22"/>
        </w:rPr>
        <w:t>312 Ostali rashodi za zaposlene obuhvaćaju trošak nagrada, darova, regres za godišnji odmor kao i ostale nenavedene rashode za zaposlene, a utrošeno je 5.508,05 EUR što je u usporedbi s prošlom godinom više za 1.348,95 EUR, a razlog tome je veći iznos neoporezivog iznosa za regres i božićnicu zaposlenika, također obuhvaća veći period paušalne naknade za prehranu, a od 2023. godine na navedeno pravo ima i načelnik. Prehrana obuhvaća najveći udio u izvršenju konta 312 odnosno 54,22%.</w:t>
      </w:r>
    </w:p>
    <w:p w:rsidR="00C474A5" w:rsidRDefault="00C474A5" w:rsidP="000B0974">
      <w:pPr>
        <w:jc w:val="both"/>
        <w:outlineLvl w:val="0"/>
        <w:rPr>
          <w:sz w:val="22"/>
          <w:szCs w:val="22"/>
        </w:rPr>
      </w:pPr>
    </w:p>
    <w:p w:rsidR="00C474A5" w:rsidRDefault="00C474A5" w:rsidP="000B0974">
      <w:pPr>
        <w:jc w:val="both"/>
        <w:outlineLvl w:val="0"/>
        <w:rPr>
          <w:sz w:val="22"/>
          <w:szCs w:val="22"/>
        </w:rPr>
      </w:pPr>
      <w:r>
        <w:rPr>
          <w:sz w:val="22"/>
          <w:szCs w:val="22"/>
        </w:rPr>
        <w:t>3211 Službena putovanja –</w:t>
      </w:r>
      <w:r w:rsidR="005E3F0F">
        <w:rPr>
          <w:sz w:val="22"/>
          <w:szCs w:val="22"/>
        </w:rPr>
        <w:t xml:space="preserve"> trošak od 301,00 </w:t>
      </w:r>
      <w:r>
        <w:rPr>
          <w:sz w:val="22"/>
          <w:szCs w:val="22"/>
        </w:rPr>
        <w:t>EUR obuhvaća 3 putna naloga načelnika za posjet u Zagreb, a u 2022. godini bili su 2 putna naloga</w:t>
      </w:r>
      <w:r w:rsidR="00615ABD">
        <w:rPr>
          <w:sz w:val="22"/>
          <w:szCs w:val="22"/>
        </w:rPr>
        <w:t xml:space="preserve">. </w:t>
      </w:r>
    </w:p>
    <w:p w:rsidR="00615ABD" w:rsidRDefault="00615ABD" w:rsidP="000B0974">
      <w:pPr>
        <w:jc w:val="both"/>
        <w:outlineLvl w:val="0"/>
        <w:rPr>
          <w:sz w:val="22"/>
          <w:szCs w:val="22"/>
        </w:rPr>
      </w:pPr>
    </w:p>
    <w:p w:rsidR="00615ABD" w:rsidRDefault="00615ABD" w:rsidP="000B0974">
      <w:pPr>
        <w:jc w:val="both"/>
        <w:outlineLvl w:val="0"/>
        <w:rPr>
          <w:sz w:val="22"/>
          <w:szCs w:val="22"/>
        </w:rPr>
      </w:pPr>
      <w:r>
        <w:rPr>
          <w:sz w:val="22"/>
          <w:szCs w:val="22"/>
        </w:rPr>
        <w:t>3212 – Naknada za prijevoz na posao i s posla – povećanje u odnosu na 2022. godinu iz razloga što od kolovoza 2022. pravo koristi i načelnik, pa samim time u 2023. godini obuhvaća cijeli period pa je iz tog razloga došlo do povećanja. Također navedeno pravo koriste i službenici i namještenici.</w:t>
      </w:r>
    </w:p>
    <w:p w:rsidR="00615ABD" w:rsidRDefault="00615ABD" w:rsidP="000B0974">
      <w:pPr>
        <w:jc w:val="both"/>
        <w:outlineLvl w:val="0"/>
        <w:rPr>
          <w:sz w:val="22"/>
          <w:szCs w:val="22"/>
        </w:rPr>
      </w:pPr>
    </w:p>
    <w:p w:rsidR="00615ABD" w:rsidRDefault="00615ABD" w:rsidP="000B0974">
      <w:pPr>
        <w:jc w:val="both"/>
        <w:outlineLvl w:val="0"/>
        <w:rPr>
          <w:sz w:val="22"/>
          <w:szCs w:val="22"/>
        </w:rPr>
      </w:pPr>
      <w:r>
        <w:rPr>
          <w:sz w:val="22"/>
          <w:szCs w:val="22"/>
        </w:rPr>
        <w:t>3213 – 573,75 EUR odnosi se za sljedeće usluge: 43,75 EUR Webinar uredsko poslovanje i 530,00 EUR za sudjelovanje u programu izobrazbe za javnu nabavu referentice za opće upravne poslove te poslove vijeća.</w:t>
      </w:r>
    </w:p>
    <w:p w:rsidR="00615ABD" w:rsidRDefault="00615ABD" w:rsidP="000B0974">
      <w:pPr>
        <w:jc w:val="both"/>
        <w:outlineLvl w:val="0"/>
        <w:rPr>
          <w:sz w:val="22"/>
          <w:szCs w:val="22"/>
        </w:rPr>
      </w:pPr>
    </w:p>
    <w:p w:rsidR="00615ABD" w:rsidRDefault="00615ABD" w:rsidP="000B0974">
      <w:pPr>
        <w:jc w:val="both"/>
        <w:outlineLvl w:val="0"/>
        <w:rPr>
          <w:sz w:val="22"/>
          <w:szCs w:val="22"/>
        </w:rPr>
      </w:pPr>
      <w:r>
        <w:rPr>
          <w:sz w:val="22"/>
          <w:szCs w:val="22"/>
        </w:rPr>
        <w:t>3214 odnosi se na naknadu za korištenje automobila u sl. svrhe ponajviše za načelnika mjesečno, dok su službenici i namještenici za navedeno utrošili 169,20 EUR, a načelnik 1.688,40 EUR.</w:t>
      </w:r>
    </w:p>
    <w:p w:rsidR="005E3F0F" w:rsidRDefault="005E3F0F" w:rsidP="000B0974">
      <w:pPr>
        <w:jc w:val="both"/>
        <w:outlineLvl w:val="0"/>
        <w:rPr>
          <w:sz w:val="22"/>
          <w:szCs w:val="22"/>
        </w:rPr>
      </w:pPr>
    </w:p>
    <w:p w:rsidR="005E3F0F" w:rsidRDefault="005E3F0F" w:rsidP="000B0974">
      <w:pPr>
        <w:jc w:val="both"/>
        <w:outlineLvl w:val="0"/>
        <w:rPr>
          <w:sz w:val="22"/>
          <w:szCs w:val="22"/>
        </w:rPr>
      </w:pPr>
      <w:r>
        <w:rPr>
          <w:sz w:val="22"/>
          <w:szCs w:val="22"/>
        </w:rPr>
        <w:t>Kod usluge telefona smanjenje troškova u usporedbi s prošlom godinu, načelniku isteklo obročno plaćanje uređaja na rate pa je samim time trošak manji.</w:t>
      </w:r>
    </w:p>
    <w:p w:rsidR="005E3F0F" w:rsidRDefault="005E3F0F" w:rsidP="000B0974">
      <w:pPr>
        <w:jc w:val="both"/>
        <w:outlineLvl w:val="0"/>
        <w:rPr>
          <w:sz w:val="22"/>
          <w:szCs w:val="22"/>
        </w:rPr>
      </w:pPr>
    </w:p>
    <w:p w:rsidR="005E3F0F" w:rsidRDefault="005E3F0F" w:rsidP="000B0974">
      <w:pPr>
        <w:jc w:val="both"/>
        <w:outlineLvl w:val="0"/>
        <w:rPr>
          <w:sz w:val="22"/>
          <w:szCs w:val="22"/>
        </w:rPr>
      </w:pPr>
      <w:r>
        <w:rPr>
          <w:sz w:val="22"/>
          <w:szCs w:val="22"/>
        </w:rPr>
        <w:t>3234 Komunalne usluge – povećanje od 161,7% u odnosu na prošlu godinu, odnosno utrošeno je 65.532,32 EUR. Do povećanja dolazi jer smo po Odluci grada Čakovca dužni od 2023. godine plaćati naknadu za korištenj</w:t>
      </w:r>
      <w:r w:rsidR="00092FC9">
        <w:rPr>
          <w:sz w:val="22"/>
          <w:szCs w:val="22"/>
        </w:rPr>
        <w:t xml:space="preserve">e odlagališta otpada u Totovcu. Nadalje konto obuhvaća i hortikulturno uređenje dječjeg igrališta Školska, projekt koji smo proveli u 2023. godini, a isti je koštao 10.346,06 EUR. Zimska služba iznosila je 3.750,00 EUR, a u 2022. godini 3.069,21 EUR. Također došlo je i do povećanje mjesečne rate za zajedničkog komunalnog redara, proveli smo 1 deratizaciju i dva tretiranja komaraca na našem području za što je utrošeno 6.680,95 EUR, a u 2022. je utrošeno 2.634,55 EUR. </w:t>
      </w:r>
    </w:p>
    <w:p w:rsidR="00092FC9" w:rsidRDefault="00092FC9" w:rsidP="000B0974">
      <w:pPr>
        <w:jc w:val="both"/>
        <w:outlineLvl w:val="0"/>
        <w:rPr>
          <w:sz w:val="22"/>
          <w:szCs w:val="22"/>
        </w:rPr>
      </w:pPr>
    </w:p>
    <w:p w:rsidR="00092FC9" w:rsidRDefault="00092FC9" w:rsidP="000B0974">
      <w:pPr>
        <w:jc w:val="both"/>
        <w:outlineLvl w:val="0"/>
        <w:rPr>
          <w:sz w:val="22"/>
          <w:szCs w:val="22"/>
        </w:rPr>
      </w:pPr>
      <w:r>
        <w:rPr>
          <w:sz w:val="22"/>
          <w:szCs w:val="22"/>
        </w:rPr>
        <w:t xml:space="preserve">3232 – utrošeno je 22.418,33 EUR. U usporedbi s 2022. godinu utrošeno je manje za 16.010,42 EUR, a najznačajniji rashod u 2023. godini se odnosi na tekuće održavanje cesta i poljskih puteva u iznosu od 12.583,75 EUR. </w:t>
      </w:r>
    </w:p>
    <w:p w:rsidR="00092FC9" w:rsidRDefault="00092FC9" w:rsidP="000B0974">
      <w:pPr>
        <w:jc w:val="both"/>
        <w:outlineLvl w:val="0"/>
        <w:rPr>
          <w:sz w:val="22"/>
          <w:szCs w:val="22"/>
        </w:rPr>
      </w:pPr>
    </w:p>
    <w:p w:rsidR="00092FC9" w:rsidRDefault="00092FC9" w:rsidP="000B0974">
      <w:pPr>
        <w:jc w:val="both"/>
        <w:outlineLvl w:val="0"/>
        <w:rPr>
          <w:sz w:val="22"/>
          <w:szCs w:val="22"/>
        </w:rPr>
      </w:pPr>
      <w:r>
        <w:rPr>
          <w:sz w:val="22"/>
          <w:szCs w:val="22"/>
        </w:rPr>
        <w:t xml:space="preserve">3238 – računalne usluge – povećanje u usporedbi s 2022. godinom za 166%, a razlog tome je što smo naručili uslugu eOffice uredsko poslovanje koje smo dužni po zakonu, kao i aplikaciju Transparentnost od Konplasta d.o.o. Također od 10 mjeseca 2023. dolazi do povećanja usluge podrške programskom paketu Konplast zbog potpisivanja novog Ugovora. </w:t>
      </w:r>
    </w:p>
    <w:p w:rsidR="00092FC9" w:rsidRDefault="00092FC9" w:rsidP="000B0974">
      <w:pPr>
        <w:jc w:val="both"/>
        <w:outlineLvl w:val="0"/>
        <w:rPr>
          <w:sz w:val="22"/>
          <w:szCs w:val="22"/>
        </w:rPr>
      </w:pPr>
    </w:p>
    <w:p w:rsidR="00092FC9" w:rsidRDefault="00C21483" w:rsidP="000B0974">
      <w:pPr>
        <w:jc w:val="both"/>
        <w:outlineLvl w:val="0"/>
        <w:rPr>
          <w:sz w:val="22"/>
          <w:szCs w:val="22"/>
        </w:rPr>
      </w:pPr>
      <w:r>
        <w:rPr>
          <w:sz w:val="22"/>
          <w:szCs w:val="22"/>
        </w:rPr>
        <w:t xml:space="preserve">3293 Reprezentacija – znatno povećanje zbog programa proslave 30. godina općine. Organizirano je više događanja povodom proslave nego u 2022. godini, a i znatni trošak je Koncert Opće Opasnosti. </w:t>
      </w:r>
      <w:r>
        <w:rPr>
          <w:sz w:val="22"/>
          <w:szCs w:val="22"/>
        </w:rPr>
        <w:lastRenderedPageBreak/>
        <w:t>Ukupno troškovi reprezentacije za Dane Općine iznosi 24.955,11 EUR, a troškovi reprezentacije načelnika i općinskog vijeća, članova VMO Gornji Kraljevec 3.610,80 EUR.</w:t>
      </w:r>
    </w:p>
    <w:p w:rsidR="00C21483" w:rsidRDefault="00C21483" w:rsidP="000B0974">
      <w:pPr>
        <w:jc w:val="both"/>
        <w:outlineLvl w:val="0"/>
        <w:rPr>
          <w:sz w:val="22"/>
          <w:szCs w:val="22"/>
        </w:rPr>
      </w:pPr>
    </w:p>
    <w:p w:rsidR="00615ABD" w:rsidRDefault="00C21483" w:rsidP="000B0974">
      <w:pPr>
        <w:jc w:val="both"/>
        <w:outlineLvl w:val="0"/>
        <w:rPr>
          <w:sz w:val="22"/>
          <w:szCs w:val="22"/>
        </w:rPr>
      </w:pPr>
      <w:r>
        <w:rPr>
          <w:sz w:val="22"/>
          <w:szCs w:val="22"/>
        </w:rPr>
        <w:t>3631 - Tekuće pomoći unutar općeg proračuna – odnosi se na isplatu TZP Mura i gorice za 2023. godinu po sporazumu. Do prije 2023. godine TZP nije postojala.</w:t>
      </w:r>
    </w:p>
    <w:p w:rsidR="00C21483" w:rsidRDefault="00C21483" w:rsidP="000B0974">
      <w:pPr>
        <w:jc w:val="both"/>
        <w:outlineLvl w:val="0"/>
        <w:rPr>
          <w:sz w:val="22"/>
          <w:szCs w:val="22"/>
        </w:rPr>
      </w:pPr>
    </w:p>
    <w:p w:rsidR="00C21483" w:rsidRDefault="00C21483" w:rsidP="000B0974">
      <w:pPr>
        <w:jc w:val="both"/>
        <w:outlineLvl w:val="0"/>
        <w:rPr>
          <w:sz w:val="22"/>
          <w:szCs w:val="22"/>
        </w:rPr>
      </w:pPr>
      <w:r>
        <w:rPr>
          <w:sz w:val="22"/>
          <w:szCs w:val="22"/>
        </w:rPr>
        <w:t xml:space="preserve">3722 – u 2022. godini navedeni konto predstavljao je trošak za sufinanciranje školske kuhinje i prijevoz učenika, dok u 2023. godini predstavlja sufinanciranje prijevoza u iznosu od 800,00 EUR i trošak za bonove umirovljenicima i osobama bez primanja za Uskrs i Božić što se prije knjižilo na konto 38. </w:t>
      </w:r>
    </w:p>
    <w:p w:rsidR="00C21483" w:rsidRDefault="00C21483" w:rsidP="000B0974">
      <w:pPr>
        <w:jc w:val="both"/>
        <w:outlineLvl w:val="0"/>
        <w:rPr>
          <w:sz w:val="22"/>
          <w:szCs w:val="22"/>
        </w:rPr>
      </w:pPr>
    </w:p>
    <w:p w:rsidR="00C21483" w:rsidRDefault="00C21483" w:rsidP="000B0974">
      <w:pPr>
        <w:jc w:val="both"/>
        <w:outlineLvl w:val="0"/>
        <w:rPr>
          <w:sz w:val="22"/>
          <w:szCs w:val="22"/>
        </w:rPr>
      </w:pPr>
      <w:r>
        <w:rPr>
          <w:sz w:val="22"/>
          <w:szCs w:val="22"/>
        </w:rPr>
        <w:t xml:space="preserve">3811 – dolazi do povećanja iz razloga jer smo povećali iznos sufinanciranja dječjih vrtića, vatrogasnim društvima je isplaćeno više nego 2022., a i osnovana je vatrogasna zajednica Općine Vratišinec. </w:t>
      </w:r>
    </w:p>
    <w:p w:rsidR="00EA7DC1" w:rsidRDefault="00EA7DC1" w:rsidP="000B0974">
      <w:pPr>
        <w:jc w:val="both"/>
        <w:outlineLvl w:val="0"/>
        <w:rPr>
          <w:sz w:val="22"/>
          <w:szCs w:val="22"/>
        </w:rPr>
      </w:pPr>
    </w:p>
    <w:p w:rsidR="00EA7DC1" w:rsidRDefault="00EA7DC1" w:rsidP="000B0974">
      <w:pPr>
        <w:jc w:val="both"/>
        <w:outlineLvl w:val="0"/>
        <w:rPr>
          <w:sz w:val="22"/>
          <w:szCs w:val="22"/>
        </w:rPr>
      </w:pPr>
      <w:r>
        <w:rPr>
          <w:sz w:val="22"/>
          <w:szCs w:val="22"/>
        </w:rPr>
        <w:t xml:space="preserve">3822 – odnosi se na poticaje mladima za kupnju odnosno gradnju kuća na području Općine Vratišinec. Na raspisani javni poziv prijavilo se 5 korisnika, a pravo je ostvarilo njih 4 i to 3 korisnika u poticaj u iznosu od 1.990,84 EUR i 1 korisnik u iznosu od 1.327,23 EUR. Ukupno je ostvareno 7.299,75 EUR. </w:t>
      </w:r>
    </w:p>
    <w:p w:rsidR="00EA7DC1" w:rsidRDefault="00EA7DC1" w:rsidP="000B0974">
      <w:pPr>
        <w:jc w:val="both"/>
        <w:outlineLvl w:val="0"/>
        <w:rPr>
          <w:sz w:val="22"/>
          <w:szCs w:val="22"/>
        </w:rPr>
      </w:pPr>
    </w:p>
    <w:p w:rsidR="00EA7DC1" w:rsidRDefault="00EA7DC1" w:rsidP="000B0974">
      <w:pPr>
        <w:jc w:val="both"/>
        <w:outlineLvl w:val="0"/>
        <w:rPr>
          <w:sz w:val="22"/>
          <w:szCs w:val="22"/>
        </w:rPr>
      </w:pPr>
      <w:r>
        <w:rPr>
          <w:sz w:val="22"/>
          <w:szCs w:val="22"/>
        </w:rPr>
        <w:t>3831 Naknade štete pravnim i fizičkim osobama – isplata povrata novčanih sredstava fizičkoj osobi koja je davnih dana uplatila 5.000,00 kuna za kanalizaciju, a kanalizacija nije bila izgrađena, a sada se proveo projekt Aglomeracije gdje je priključak besplatan. Isplata se vršila na temelju sporazuma s općinom o povratu novčanih sredstava. Javni poziv za prijavu raspisao je općinski načelnik na temelju Odluke općinskog vijeća. Isplaćeno 663,61 EUR odnosno 5.000,00 kn.</w:t>
      </w:r>
    </w:p>
    <w:p w:rsidR="00EA7DC1" w:rsidRPr="00EA7DC1" w:rsidRDefault="00EA7DC1" w:rsidP="00EA7DC1">
      <w:pPr>
        <w:jc w:val="both"/>
        <w:outlineLvl w:val="0"/>
        <w:rPr>
          <w:b/>
          <w:sz w:val="22"/>
          <w:szCs w:val="22"/>
        </w:rPr>
      </w:pPr>
    </w:p>
    <w:p w:rsidR="00EA7DC1" w:rsidRPr="00EA7DC1" w:rsidRDefault="00EA7DC1" w:rsidP="00EA7DC1">
      <w:pPr>
        <w:pStyle w:val="Odlomakpopisa"/>
        <w:numPr>
          <w:ilvl w:val="0"/>
          <w:numId w:val="21"/>
        </w:numPr>
        <w:jc w:val="both"/>
        <w:outlineLvl w:val="0"/>
        <w:rPr>
          <w:b/>
          <w:sz w:val="22"/>
          <w:szCs w:val="22"/>
        </w:rPr>
      </w:pPr>
      <w:r w:rsidRPr="00EA7DC1">
        <w:rPr>
          <w:b/>
          <w:sz w:val="22"/>
          <w:szCs w:val="22"/>
        </w:rPr>
        <w:t>RASHODI ZA NABAVU NEFINANCIJSKE IMOVINE = 509.828,16 EUR</w:t>
      </w:r>
    </w:p>
    <w:p w:rsidR="00EA7DC1" w:rsidRDefault="00EA7DC1" w:rsidP="00EA7DC1">
      <w:pPr>
        <w:jc w:val="both"/>
        <w:outlineLvl w:val="0"/>
        <w:rPr>
          <w:sz w:val="22"/>
          <w:szCs w:val="22"/>
        </w:rPr>
      </w:pPr>
    </w:p>
    <w:p w:rsidR="00EA7DC1" w:rsidRDefault="00EA7DC1" w:rsidP="00EA7DC1">
      <w:pPr>
        <w:jc w:val="both"/>
        <w:outlineLvl w:val="0"/>
        <w:rPr>
          <w:sz w:val="22"/>
          <w:szCs w:val="22"/>
        </w:rPr>
      </w:pPr>
      <w:r>
        <w:rPr>
          <w:sz w:val="22"/>
          <w:szCs w:val="22"/>
        </w:rPr>
        <w:t>4111 – zemljište – Općina Vratišinec je prema Odluci općinskog načelnika koncem 2023. godine od fizičke osobe kupila nekretninu kod NK Sokola oznake kč.br. 1519 k.o. Vratišinec u iznosu od 1.800,00 EUR. U 2022. godini općina nije kupovala nekretnine.</w:t>
      </w:r>
    </w:p>
    <w:p w:rsidR="00EA7DC1" w:rsidRDefault="00EA7DC1" w:rsidP="00EA7DC1">
      <w:pPr>
        <w:jc w:val="both"/>
        <w:outlineLvl w:val="0"/>
        <w:rPr>
          <w:sz w:val="22"/>
          <w:szCs w:val="22"/>
        </w:rPr>
      </w:pPr>
    </w:p>
    <w:p w:rsidR="00EA7DC1" w:rsidRDefault="00EA7DC1" w:rsidP="00EA7DC1">
      <w:pPr>
        <w:jc w:val="both"/>
        <w:outlineLvl w:val="0"/>
        <w:rPr>
          <w:sz w:val="22"/>
          <w:szCs w:val="22"/>
        </w:rPr>
      </w:pPr>
      <w:r>
        <w:rPr>
          <w:sz w:val="22"/>
          <w:szCs w:val="22"/>
        </w:rPr>
        <w:t>4212 – Poslovni objekti – 56.278,58 EUR obuhvaćaju sljedeće radove:</w:t>
      </w:r>
    </w:p>
    <w:p w:rsidR="00EA7DC1" w:rsidRDefault="00792AAD" w:rsidP="00EA7DC1">
      <w:pPr>
        <w:pStyle w:val="Odlomakpopisa"/>
        <w:numPr>
          <w:ilvl w:val="0"/>
          <w:numId w:val="20"/>
        </w:numPr>
        <w:jc w:val="both"/>
        <w:outlineLvl w:val="0"/>
        <w:rPr>
          <w:sz w:val="22"/>
          <w:szCs w:val="22"/>
        </w:rPr>
      </w:pPr>
      <w:r>
        <w:rPr>
          <w:sz w:val="22"/>
          <w:szCs w:val="22"/>
        </w:rPr>
        <w:t xml:space="preserve">VRTIĆ - </w:t>
      </w:r>
      <w:r w:rsidR="00EA7DC1">
        <w:rPr>
          <w:sz w:val="22"/>
          <w:szCs w:val="22"/>
        </w:rPr>
        <w:t>441,77 – vodni doprinos za matični vrtić u Vratišincu, po građevinskoj dozvoli,</w:t>
      </w:r>
    </w:p>
    <w:p w:rsidR="00792AAD" w:rsidRDefault="00792AAD" w:rsidP="00EA7DC1">
      <w:pPr>
        <w:pStyle w:val="Odlomakpopisa"/>
        <w:numPr>
          <w:ilvl w:val="0"/>
          <w:numId w:val="20"/>
        </w:numPr>
        <w:jc w:val="both"/>
        <w:outlineLvl w:val="0"/>
        <w:rPr>
          <w:sz w:val="22"/>
          <w:szCs w:val="22"/>
        </w:rPr>
      </w:pPr>
      <w:r>
        <w:rPr>
          <w:sz w:val="22"/>
          <w:szCs w:val="22"/>
        </w:rPr>
        <w:t>DVD Gornji Kraljevec – 356,25 EUR – vodovodne instalacije (radovi),</w:t>
      </w:r>
    </w:p>
    <w:p w:rsidR="00792AAD" w:rsidRDefault="00792AAD" w:rsidP="00EA7DC1">
      <w:pPr>
        <w:pStyle w:val="Odlomakpopisa"/>
        <w:numPr>
          <w:ilvl w:val="0"/>
          <w:numId w:val="20"/>
        </w:numPr>
        <w:jc w:val="both"/>
        <w:outlineLvl w:val="0"/>
        <w:rPr>
          <w:sz w:val="22"/>
          <w:szCs w:val="22"/>
        </w:rPr>
      </w:pPr>
      <w:r>
        <w:rPr>
          <w:sz w:val="22"/>
          <w:szCs w:val="22"/>
        </w:rPr>
        <w:t>Društveni dom Gornji Kraljevec – 58,66 EUR – vodni doprinos,</w:t>
      </w:r>
    </w:p>
    <w:p w:rsidR="00792AAD" w:rsidRDefault="00792AAD" w:rsidP="00EA7DC1">
      <w:pPr>
        <w:pStyle w:val="Odlomakpopisa"/>
        <w:numPr>
          <w:ilvl w:val="0"/>
          <w:numId w:val="20"/>
        </w:numPr>
        <w:jc w:val="both"/>
        <w:outlineLvl w:val="0"/>
        <w:rPr>
          <w:sz w:val="22"/>
          <w:szCs w:val="22"/>
        </w:rPr>
      </w:pPr>
      <w:r>
        <w:rPr>
          <w:sz w:val="22"/>
          <w:szCs w:val="22"/>
        </w:rPr>
        <w:t>Zgrada stare škole – prostori DV SRČEKO – 10.210,53 EUR,</w:t>
      </w:r>
    </w:p>
    <w:p w:rsidR="00792AAD" w:rsidRDefault="00792AAD" w:rsidP="00EA7DC1">
      <w:pPr>
        <w:pStyle w:val="Odlomakpopisa"/>
        <w:numPr>
          <w:ilvl w:val="0"/>
          <w:numId w:val="20"/>
        </w:numPr>
        <w:jc w:val="both"/>
        <w:outlineLvl w:val="0"/>
        <w:rPr>
          <w:sz w:val="22"/>
          <w:szCs w:val="22"/>
        </w:rPr>
      </w:pPr>
      <w:r>
        <w:rPr>
          <w:sz w:val="22"/>
          <w:szCs w:val="22"/>
        </w:rPr>
        <w:t>Igralište u DV Srčeko – 32.375,00 EUR,</w:t>
      </w:r>
    </w:p>
    <w:p w:rsidR="00792AAD" w:rsidRDefault="00792AAD" w:rsidP="00EA7DC1">
      <w:pPr>
        <w:pStyle w:val="Odlomakpopisa"/>
        <w:numPr>
          <w:ilvl w:val="0"/>
          <w:numId w:val="20"/>
        </w:numPr>
        <w:jc w:val="both"/>
        <w:outlineLvl w:val="0"/>
        <w:rPr>
          <w:sz w:val="22"/>
          <w:szCs w:val="22"/>
        </w:rPr>
      </w:pPr>
      <w:r>
        <w:rPr>
          <w:sz w:val="22"/>
          <w:szCs w:val="22"/>
        </w:rPr>
        <w:t>Sustav navodnjavanja 1/2 NK SOKOL – 8.636,96 EUR,</w:t>
      </w:r>
    </w:p>
    <w:p w:rsidR="00792AAD" w:rsidRDefault="00792AAD" w:rsidP="00EA7DC1">
      <w:pPr>
        <w:pStyle w:val="Odlomakpopisa"/>
        <w:numPr>
          <w:ilvl w:val="0"/>
          <w:numId w:val="20"/>
        </w:numPr>
        <w:jc w:val="both"/>
        <w:outlineLvl w:val="0"/>
        <w:rPr>
          <w:sz w:val="22"/>
          <w:szCs w:val="22"/>
        </w:rPr>
      </w:pPr>
      <w:r>
        <w:rPr>
          <w:sz w:val="22"/>
          <w:szCs w:val="22"/>
        </w:rPr>
        <w:t>Naknade za promjenu namjene poljoprivrednog zemljišta za NK Sokol i Napredak – 2.231,67 EUR,</w:t>
      </w:r>
    </w:p>
    <w:p w:rsidR="00792AAD" w:rsidRDefault="00792AAD" w:rsidP="00EA7DC1">
      <w:pPr>
        <w:pStyle w:val="Odlomakpopisa"/>
        <w:numPr>
          <w:ilvl w:val="0"/>
          <w:numId w:val="20"/>
        </w:numPr>
        <w:jc w:val="both"/>
        <w:outlineLvl w:val="0"/>
        <w:rPr>
          <w:sz w:val="22"/>
          <w:szCs w:val="22"/>
        </w:rPr>
      </w:pPr>
      <w:r>
        <w:rPr>
          <w:sz w:val="22"/>
          <w:szCs w:val="22"/>
        </w:rPr>
        <w:t>Vodni doprinos za NK Sokol i Napredak – 209,70 EUR</w:t>
      </w:r>
    </w:p>
    <w:p w:rsidR="00792AAD" w:rsidRDefault="00792AAD" w:rsidP="00792AAD">
      <w:pPr>
        <w:jc w:val="both"/>
        <w:outlineLvl w:val="0"/>
        <w:rPr>
          <w:sz w:val="22"/>
          <w:szCs w:val="22"/>
        </w:rPr>
      </w:pPr>
    </w:p>
    <w:p w:rsidR="00792AAD" w:rsidRDefault="00792AAD" w:rsidP="00792AAD">
      <w:pPr>
        <w:jc w:val="both"/>
        <w:outlineLvl w:val="0"/>
        <w:rPr>
          <w:sz w:val="22"/>
          <w:szCs w:val="22"/>
        </w:rPr>
      </w:pPr>
      <w:r>
        <w:rPr>
          <w:sz w:val="22"/>
          <w:szCs w:val="22"/>
        </w:rPr>
        <w:t xml:space="preserve">4213 – Ceste – obuhvaća radove na izgradnji pješačke staze s odvodnjom u ulici Dr. Vinka Žganca. Ukupan iznos investicije iznosi 230.157,13 EUR i obuhvaća 87,40% izvršenja konta 4213. Pješačka staza u ulici Dr. Vinka Žganca sufinancirana je od strane Ministarstva regionalnog razvoja i fondova EU u iznosu od 40.000,00 EUR i sredstvima Županijske uprave za ceste u iznosu od 92.950,00 EUR sukladno potpisanom Sporazumu. Županijska uprava za ceste izvršila je prijenos udjela financijskog ulaganja u objekt. </w:t>
      </w:r>
    </w:p>
    <w:p w:rsidR="00792AAD" w:rsidRDefault="00792AAD" w:rsidP="00792AAD">
      <w:pPr>
        <w:jc w:val="both"/>
        <w:outlineLvl w:val="0"/>
        <w:rPr>
          <w:sz w:val="22"/>
          <w:szCs w:val="22"/>
        </w:rPr>
      </w:pPr>
    </w:p>
    <w:p w:rsidR="00792AAD" w:rsidRDefault="00792AAD" w:rsidP="00792AAD">
      <w:pPr>
        <w:jc w:val="both"/>
        <w:outlineLvl w:val="0"/>
        <w:rPr>
          <w:sz w:val="22"/>
          <w:szCs w:val="22"/>
        </w:rPr>
      </w:pPr>
      <w:r>
        <w:rPr>
          <w:sz w:val="22"/>
          <w:szCs w:val="22"/>
        </w:rPr>
        <w:t>Županijska uprava za ceste izvodila je projekt Rekonstrukcije LC20020 i izgradnja biciklističke trake Gornji Kraljevec – Remis. Općina Vratišinec predmetne je radove sufinancirala u iznosu od 33.180,70 EUR.</w:t>
      </w:r>
    </w:p>
    <w:p w:rsidR="00792AAD" w:rsidRDefault="00792AAD" w:rsidP="00792AAD">
      <w:pPr>
        <w:jc w:val="both"/>
        <w:outlineLvl w:val="0"/>
        <w:rPr>
          <w:sz w:val="22"/>
          <w:szCs w:val="22"/>
        </w:rPr>
      </w:pPr>
      <w:r>
        <w:rPr>
          <w:sz w:val="22"/>
          <w:szCs w:val="22"/>
        </w:rPr>
        <w:t xml:space="preserve">Za ceste u 2023. godini ukupno utrošeno </w:t>
      </w:r>
      <w:r w:rsidR="005B0617">
        <w:rPr>
          <w:sz w:val="22"/>
          <w:szCs w:val="22"/>
        </w:rPr>
        <w:t xml:space="preserve">263.337,83 EUR. </w:t>
      </w:r>
    </w:p>
    <w:p w:rsidR="005B0617" w:rsidRDefault="005B0617" w:rsidP="00792AAD">
      <w:pPr>
        <w:jc w:val="both"/>
        <w:outlineLvl w:val="0"/>
        <w:rPr>
          <w:sz w:val="22"/>
          <w:szCs w:val="22"/>
        </w:rPr>
      </w:pPr>
    </w:p>
    <w:p w:rsidR="005B0617" w:rsidRDefault="005B0617" w:rsidP="00792AAD">
      <w:pPr>
        <w:jc w:val="both"/>
        <w:outlineLvl w:val="0"/>
        <w:rPr>
          <w:sz w:val="22"/>
          <w:szCs w:val="22"/>
        </w:rPr>
      </w:pPr>
      <w:r>
        <w:rPr>
          <w:sz w:val="22"/>
          <w:szCs w:val="22"/>
        </w:rPr>
        <w:t xml:space="preserve">4213 – Željeznice – 21.750,00 EUR utrošili smo na obnovu željezničke stanice u Vratišincu koju smo dobili od HŽ-a na korištenje uz plaćanje godišnje zakupnine. Radovi su obuhvaćali građevinske radove na prostorima čekaone, usluga demontaže stare i ugradnja nove stolarije, bojanje zidova i izrada fasade. </w:t>
      </w:r>
    </w:p>
    <w:p w:rsidR="005B0617" w:rsidRDefault="005B0617" w:rsidP="00792AAD">
      <w:pPr>
        <w:jc w:val="both"/>
        <w:outlineLvl w:val="0"/>
        <w:rPr>
          <w:sz w:val="22"/>
          <w:szCs w:val="22"/>
        </w:rPr>
      </w:pPr>
      <w:r>
        <w:rPr>
          <w:sz w:val="22"/>
          <w:szCs w:val="22"/>
        </w:rPr>
        <w:lastRenderedPageBreak/>
        <w:t xml:space="preserve">4214 – Ostali građevinski objekti – 83.913,85 EUR od čega za dopunu javne rasvjete po naselju Vratišinec 7.096,06 EUR, za radove uređenja trga u Vratišincu (1.faza) započete koncem 2022. godine 64.896,49 EUR, odvodnja u ulici Novi Brodec 1.200,00 EUR, odvodnja kod kapelice Sv. Florijana 9.366,08 EUR i 1.355,22 EUR za plaćanje zahtjeva broj 10 Međimurskih voda za projekt Aglomeracije Mursko Središće. </w:t>
      </w:r>
    </w:p>
    <w:p w:rsidR="005B0617" w:rsidRDefault="005B0617" w:rsidP="00792AAD">
      <w:pPr>
        <w:jc w:val="both"/>
        <w:outlineLvl w:val="0"/>
        <w:rPr>
          <w:sz w:val="22"/>
          <w:szCs w:val="22"/>
        </w:rPr>
      </w:pPr>
    </w:p>
    <w:p w:rsidR="005B0617" w:rsidRDefault="005B0617" w:rsidP="00792AAD">
      <w:pPr>
        <w:jc w:val="both"/>
        <w:outlineLvl w:val="0"/>
        <w:rPr>
          <w:sz w:val="22"/>
          <w:szCs w:val="22"/>
        </w:rPr>
      </w:pPr>
      <w:r>
        <w:rPr>
          <w:sz w:val="22"/>
          <w:szCs w:val="22"/>
        </w:rPr>
        <w:t>4222 - Komunikacijska oprema – obuhvaća radove proširenja postojećeg sustava video nadzora. U 2023. godini video nadzor se postavio na mjesnom groblju u Vratišincu zbog učestalih vandalizma i dovoza smeća kao i na prostorima nogometnog kluba Napredak u Gornjem Kraljevcu. Za navedeno je u razdoblju od 01.01.2023. do 31.12.2023. utrošeno ukupno 16.916,37 EUR.</w:t>
      </w:r>
    </w:p>
    <w:p w:rsidR="005B0617" w:rsidRDefault="005B0617" w:rsidP="00792AAD">
      <w:pPr>
        <w:jc w:val="both"/>
        <w:outlineLvl w:val="0"/>
        <w:rPr>
          <w:sz w:val="22"/>
          <w:szCs w:val="22"/>
        </w:rPr>
      </w:pPr>
    </w:p>
    <w:p w:rsidR="005B0617" w:rsidRDefault="005B0617" w:rsidP="00792AAD">
      <w:pPr>
        <w:jc w:val="both"/>
        <w:outlineLvl w:val="0"/>
        <w:rPr>
          <w:sz w:val="22"/>
          <w:szCs w:val="22"/>
        </w:rPr>
      </w:pPr>
      <w:r>
        <w:rPr>
          <w:sz w:val="22"/>
          <w:szCs w:val="22"/>
        </w:rPr>
        <w:t>4223 – Oprema za održavanje i zaštitu – oprema nabavljena za potrebe civilne zaštite, a putem reversa dana na korištenje DVD-ima s područja Općine Vratišinec.</w:t>
      </w:r>
      <w:r w:rsidR="00410743">
        <w:rPr>
          <w:sz w:val="22"/>
          <w:szCs w:val="22"/>
        </w:rPr>
        <w:t xml:space="preserve"> Ukupno 1.909,55 EUR.</w:t>
      </w:r>
    </w:p>
    <w:p w:rsidR="00410743" w:rsidRDefault="00410743" w:rsidP="00792AAD">
      <w:pPr>
        <w:jc w:val="both"/>
        <w:outlineLvl w:val="0"/>
        <w:rPr>
          <w:sz w:val="22"/>
          <w:szCs w:val="22"/>
        </w:rPr>
      </w:pPr>
    </w:p>
    <w:p w:rsidR="00410743" w:rsidRDefault="00410743" w:rsidP="00410743">
      <w:pPr>
        <w:jc w:val="center"/>
        <w:outlineLvl w:val="0"/>
        <w:rPr>
          <w:sz w:val="22"/>
          <w:szCs w:val="22"/>
        </w:rPr>
      </w:pPr>
      <w:r>
        <w:rPr>
          <w:sz w:val="22"/>
          <w:szCs w:val="22"/>
        </w:rPr>
        <w:t>Nabavljena oprema:</w:t>
      </w:r>
    </w:p>
    <w:tbl>
      <w:tblPr>
        <w:tblStyle w:val="Reetkatablice"/>
        <w:tblW w:w="0" w:type="auto"/>
        <w:tblLayout w:type="fixed"/>
        <w:tblLook w:val="04A0" w:firstRow="1" w:lastRow="0" w:firstColumn="1" w:lastColumn="0" w:noHBand="0" w:noVBand="1"/>
      </w:tblPr>
      <w:tblGrid>
        <w:gridCol w:w="1232"/>
        <w:gridCol w:w="5209"/>
        <w:gridCol w:w="1240"/>
        <w:gridCol w:w="1335"/>
      </w:tblGrid>
      <w:tr w:rsidR="00410743" w:rsidRPr="00496E48" w:rsidTr="00410743">
        <w:trPr>
          <w:trHeight w:val="445"/>
        </w:trPr>
        <w:tc>
          <w:tcPr>
            <w:tcW w:w="1232" w:type="dxa"/>
            <w:vAlign w:val="center"/>
          </w:tcPr>
          <w:p w:rsidR="00410743" w:rsidRPr="00496E48" w:rsidRDefault="00410743" w:rsidP="00410743">
            <w:pPr>
              <w:jc w:val="center"/>
              <w:rPr>
                <w:b/>
              </w:rPr>
            </w:pPr>
            <w:r w:rsidRPr="00496E48">
              <w:rPr>
                <w:b/>
              </w:rPr>
              <w:t>Red.br.</w:t>
            </w:r>
          </w:p>
        </w:tc>
        <w:tc>
          <w:tcPr>
            <w:tcW w:w="5209" w:type="dxa"/>
            <w:vAlign w:val="center"/>
          </w:tcPr>
          <w:p w:rsidR="00410743" w:rsidRPr="00496E48" w:rsidRDefault="00410743" w:rsidP="00410743">
            <w:pPr>
              <w:jc w:val="center"/>
              <w:rPr>
                <w:b/>
              </w:rPr>
            </w:pPr>
            <w:r w:rsidRPr="00496E48">
              <w:rPr>
                <w:b/>
              </w:rPr>
              <w:t>Naziv</w:t>
            </w:r>
          </w:p>
        </w:tc>
        <w:tc>
          <w:tcPr>
            <w:tcW w:w="1240" w:type="dxa"/>
            <w:vAlign w:val="center"/>
          </w:tcPr>
          <w:p w:rsidR="00410743" w:rsidRPr="00496E48" w:rsidRDefault="00410743" w:rsidP="00410743">
            <w:pPr>
              <w:jc w:val="center"/>
              <w:rPr>
                <w:b/>
              </w:rPr>
            </w:pPr>
            <w:r w:rsidRPr="00496E48">
              <w:rPr>
                <w:b/>
              </w:rPr>
              <w:t>Jmj</w:t>
            </w:r>
          </w:p>
        </w:tc>
        <w:tc>
          <w:tcPr>
            <w:tcW w:w="1335" w:type="dxa"/>
            <w:vAlign w:val="center"/>
          </w:tcPr>
          <w:p w:rsidR="00410743" w:rsidRPr="00496E48" w:rsidRDefault="00410743" w:rsidP="00410743">
            <w:pPr>
              <w:jc w:val="center"/>
              <w:rPr>
                <w:b/>
              </w:rPr>
            </w:pPr>
            <w:r w:rsidRPr="00496E48">
              <w:rPr>
                <w:b/>
              </w:rPr>
              <w:t>Kol.</w:t>
            </w:r>
          </w:p>
        </w:tc>
      </w:tr>
      <w:tr w:rsidR="00410743" w:rsidTr="00410743">
        <w:trPr>
          <w:trHeight w:val="222"/>
        </w:trPr>
        <w:tc>
          <w:tcPr>
            <w:tcW w:w="1232" w:type="dxa"/>
            <w:vAlign w:val="center"/>
          </w:tcPr>
          <w:p w:rsidR="00410743" w:rsidRDefault="00410743" w:rsidP="00410743">
            <w:pPr>
              <w:jc w:val="center"/>
            </w:pPr>
            <w:r>
              <w:t>1.</w:t>
            </w:r>
          </w:p>
        </w:tc>
        <w:tc>
          <w:tcPr>
            <w:tcW w:w="5209" w:type="dxa"/>
            <w:vAlign w:val="center"/>
          </w:tcPr>
          <w:p w:rsidR="00410743" w:rsidRDefault="00410743" w:rsidP="00410743">
            <w:pPr>
              <w:jc w:val="center"/>
            </w:pPr>
            <w:r>
              <w:t>Svjetiljka M-FIRE AG</w:t>
            </w:r>
          </w:p>
        </w:tc>
        <w:tc>
          <w:tcPr>
            <w:tcW w:w="1240" w:type="dxa"/>
            <w:vAlign w:val="center"/>
          </w:tcPr>
          <w:p w:rsidR="00410743" w:rsidRDefault="00410743" w:rsidP="00410743">
            <w:pPr>
              <w:jc w:val="center"/>
            </w:pPr>
            <w:r>
              <w:t>kom</w:t>
            </w:r>
          </w:p>
        </w:tc>
        <w:tc>
          <w:tcPr>
            <w:tcW w:w="1335" w:type="dxa"/>
            <w:vAlign w:val="center"/>
          </w:tcPr>
          <w:p w:rsidR="00410743" w:rsidRDefault="00410743" w:rsidP="00410743">
            <w:pPr>
              <w:jc w:val="center"/>
            </w:pPr>
            <w:r>
              <w:t>12</w:t>
            </w:r>
          </w:p>
        </w:tc>
      </w:tr>
      <w:tr w:rsidR="00410743" w:rsidTr="00410743">
        <w:trPr>
          <w:trHeight w:val="667"/>
        </w:trPr>
        <w:tc>
          <w:tcPr>
            <w:tcW w:w="1232" w:type="dxa"/>
            <w:vAlign w:val="center"/>
          </w:tcPr>
          <w:p w:rsidR="00410743" w:rsidRDefault="00410743" w:rsidP="00410743">
            <w:pPr>
              <w:jc w:val="center"/>
            </w:pPr>
            <w:r>
              <w:t>2.</w:t>
            </w:r>
          </w:p>
        </w:tc>
        <w:tc>
          <w:tcPr>
            <w:tcW w:w="5209" w:type="dxa"/>
            <w:vAlign w:val="center"/>
          </w:tcPr>
          <w:p w:rsidR="00410743" w:rsidRDefault="00410743" w:rsidP="00410743">
            <w:pPr>
              <w:jc w:val="center"/>
            </w:pPr>
            <w:r>
              <w:t>Set AKU ALATA EINHELL TE-TK 18/3 LiKIT</w:t>
            </w:r>
          </w:p>
        </w:tc>
        <w:tc>
          <w:tcPr>
            <w:tcW w:w="1240" w:type="dxa"/>
            <w:vAlign w:val="center"/>
          </w:tcPr>
          <w:p w:rsidR="00410743" w:rsidRDefault="00410743" w:rsidP="00410743">
            <w:pPr>
              <w:jc w:val="center"/>
            </w:pPr>
            <w:r>
              <w:t>kom</w:t>
            </w:r>
          </w:p>
        </w:tc>
        <w:tc>
          <w:tcPr>
            <w:tcW w:w="1335" w:type="dxa"/>
            <w:vAlign w:val="center"/>
          </w:tcPr>
          <w:p w:rsidR="00410743" w:rsidRDefault="00410743" w:rsidP="00410743">
            <w:pPr>
              <w:jc w:val="center"/>
            </w:pPr>
            <w:r>
              <w:t>2</w:t>
            </w:r>
          </w:p>
        </w:tc>
      </w:tr>
      <w:tr w:rsidR="00410743" w:rsidTr="00410743">
        <w:trPr>
          <w:trHeight w:val="445"/>
        </w:trPr>
        <w:tc>
          <w:tcPr>
            <w:tcW w:w="1232" w:type="dxa"/>
            <w:vAlign w:val="center"/>
          </w:tcPr>
          <w:p w:rsidR="00410743" w:rsidRDefault="00410743" w:rsidP="00410743">
            <w:pPr>
              <w:jc w:val="center"/>
            </w:pPr>
            <w:r>
              <w:t>3.</w:t>
            </w:r>
          </w:p>
        </w:tc>
        <w:tc>
          <w:tcPr>
            <w:tcW w:w="5209" w:type="dxa"/>
            <w:vAlign w:val="center"/>
          </w:tcPr>
          <w:p w:rsidR="00410743" w:rsidRDefault="00410743" w:rsidP="00410743">
            <w:pPr>
              <w:jc w:val="center"/>
            </w:pPr>
            <w:r>
              <w:t>Set svrdla za metal KWB 6/1 231403</w:t>
            </w:r>
          </w:p>
        </w:tc>
        <w:tc>
          <w:tcPr>
            <w:tcW w:w="1240" w:type="dxa"/>
            <w:vAlign w:val="center"/>
          </w:tcPr>
          <w:p w:rsidR="00410743" w:rsidRDefault="00410743" w:rsidP="00410743">
            <w:pPr>
              <w:jc w:val="center"/>
            </w:pPr>
            <w:r>
              <w:t>kom</w:t>
            </w:r>
          </w:p>
        </w:tc>
        <w:tc>
          <w:tcPr>
            <w:tcW w:w="1335" w:type="dxa"/>
            <w:vAlign w:val="center"/>
          </w:tcPr>
          <w:p w:rsidR="00410743" w:rsidRDefault="00410743" w:rsidP="00410743">
            <w:pPr>
              <w:jc w:val="center"/>
            </w:pPr>
            <w:r>
              <w:t>2</w:t>
            </w:r>
          </w:p>
        </w:tc>
      </w:tr>
      <w:tr w:rsidR="00410743" w:rsidTr="00410743">
        <w:trPr>
          <w:trHeight w:val="434"/>
        </w:trPr>
        <w:tc>
          <w:tcPr>
            <w:tcW w:w="1232" w:type="dxa"/>
            <w:vAlign w:val="center"/>
          </w:tcPr>
          <w:p w:rsidR="00410743" w:rsidRDefault="00410743" w:rsidP="00410743">
            <w:pPr>
              <w:jc w:val="center"/>
            </w:pPr>
            <w:r>
              <w:t>4.</w:t>
            </w:r>
          </w:p>
        </w:tc>
        <w:tc>
          <w:tcPr>
            <w:tcW w:w="5209" w:type="dxa"/>
            <w:vAlign w:val="center"/>
          </w:tcPr>
          <w:p w:rsidR="00410743" w:rsidRDefault="00410743" w:rsidP="00410743">
            <w:pPr>
              <w:jc w:val="center"/>
            </w:pPr>
            <w:r>
              <w:t>Set svrdla i bitova KWV 41/1 Standard 091048</w:t>
            </w:r>
          </w:p>
        </w:tc>
        <w:tc>
          <w:tcPr>
            <w:tcW w:w="1240" w:type="dxa"/>
            <w:vAlign w:val="center"/>
          </w:tcPr>
          <w:p w:rsidR="00410743" w:rsidRDefault="00410743" w:rsidP="00410743">
            <w:pPr>
              <w:jc w:val="center"/>
            </w:pPr>
            <w:r>
              <w:t>kom</w:t>
            </w:r>
          </w:p>
        </w:tc>
        <w:tc>
          <w:tcPr>
            <w:tcW w:w="1335" w:type="dxa"/>
            <w:vAlign w:val="center"/>
          </w:tcPr>
          <w:p w:rsidR="00410743" w:rsidRDefault="00410743" w:rsidP="00410743">
            <w:pPr>
              <w:jc w:val="center"/>
            </w:pPr>
            <w:r>
              <w:t>2</w:t>
            </w:r>
          </w:p>
        </w:tc>
      </w:tr>
      <w:tr w:rsidR="00410743" w:rsidTr="00410743">
        <w:trPr>
          <w:trHeight w:val="667"/>
        </w:trPr>
        <w:tc>
          <w:tcPr>
            <w:tcW w:w="1232" w:type="dxa"/>
            <w:vAlign w:val="center"/>
          </w:tcPr>
          <w:p w:rsidR="00410743" w:rsidRDefault="00410743" w:rsidP="00410743">
            <w:pPr>
              <w:jc w:val="center"/>
            </w:pPr>
            <w:r>
              <w:t>5.</w:t>
            </w:r>
          </w:p>
        </w:tc>
        <w:tc>
          <w:tcPr>
            <w:tcW w:w="5209" w:type="dxa"/>
            <w:vAlign w:val="center"/>
          </w:tcPr>
          <w:p w:rsidR="00410743" w:rsidRDefault="00410743" w:rsidP="00410743">
            <w:pPr>
              <w:jc w:val="center"/>
            </w:pPr>
            <w:r>
              <w:t>Punjač+baterija Einhell Power-X-Change 18B 4.0AH 613704</w:t>
            </w:r>
          </w:p>
        </w:tc>
        <w:tc>
          <w:tcPr>
            <w:tcW w:w="1240" w:type="dxa"/>
            <w:vAlign w:val="center"/>
          </w:tcPr>
          <w:p w:rsidR="00410743" w:rsidRDefault="00410743" w:rsidP="00410743">
            <w:pPr>
              <w:jc w:val="center"/>
            </w:pPr>
            <w:r>
              <w:t>kom</w:t>
            </w:r>
          </w:p>
        </w:tc>
        <w:tc>
          <w:tcPr>
            <w:tcW w:w="1335" w:type="dxa"/>
            <w:vAlign w:val="center"/>
          </w:tcPr>
          <w:p w:rsidR="00410743" w:rsidRDefault="00410743" w:rsidP="00410743">
            <w:pPr>
              <w:jc w:val="center"/>
            </w:pPr>
            <w:r>
              <w:t>2</w:t>
            </w:r>
          </w:p>
        </w:tc>
      </w:tr>
      <w:tr w:rsidR="00410743" w:rsidTr="00410743">
        <w:trPr>
          <w:trHeight w:val="222"/>
        </w:trPr>
        <w:tc>
          <w:tcPr>
            <w:tcW w:w="1232" w:type="dxa"/>
            <w:vAlign w:val="center"/>
          </w:tcPr>
          <w:p w:rsidR="00410743" w:rsidRDefault="00410743" w:rsidP="00410743">
            <w:pPr>
              <w:jc w:val="center"/>
            </w:pPr>
            <w:r>
              <w:t>6.</w:t>
            </w:r>
          </w:p>
        </w:tc>
        <w:tc>
          <w:tcPr>
            <w:tcW w:w="5209" w:type="dxa"/>
            <w:vAlign w:val="center"/>
          </w:tcPr>
          <w:p w:rsidR="00410743" w:rsidRDefault="00410743" w:rsidP="00410743">
            <w:pPr>
              <w:jc w:val="center"/>
            </w:pPr>
            <w:r>
              <w:t>Crijevo FI 76 R</w:t>
            </w:r>
          </w:p>
        </w:tc>
        <w:tc>
          <w:tcPr>
            <w:tcW w:w="1240" w:type="dxa"/>
            <w:vAlign w:val="center"/>
          </w:tcPr>
          <w:p w:rsidR="00410743" w:rsidRDefault="00410743" w:rsidP="00410743">
            <w:pPr>
              <w:jc w:val="center"/>
            </w:pPr>
            <w:r>
              <w:t>kom</w:t>
            </w:r>
          </w:p>
        </w:tc>
        <w:tc>
          <w:tcPr>
            <w:tcW w:w="1335" w:type="dxa"/>
            <w:vAlign w:val="center"/>
          </w:tcPr>
          <w:p w:rsidR="00410743" w:rsidRDefault="00410743" w:rsidP="00410743">
            <w:pPr>
              <w:jc w:val="center"/>
            </w:pPr>
            <w:r>
              <w:t>4m</w:t>
            </w:r>
          </w:p>
        </w:tc>
      </w:tr>
      <w:tr w:rsidR="00410743" w:rsidTr="00410743">
        <w:trPr>
          <w:trHeight w:val="445"/>
        </w:trPr>
        <w:tc>
          <w:tcPr>
            <w:tcW w:w="1232" w:type="dxa"/>
            <w:vAlign w:val="center"/>
          </w:tcPr>
          <w:p w:rsidR="00410743" w:rsidRDefault="00410743" w:rsidP="00410743">
            <w:pPr>
              <w:jc w:val="center"/>
            </w:pPr>
            <w:r>
              <w:t>7.</w:t>
            </w:r>
          </w:p>
        </w:tc>
        <w:tc>
          <w:tcPr>
            <w:tcW w:w="5209" w:type="dxa"/>
            <w:vAlign w:val="center"/>
          </w:tcPr>
          <w:p w:rsidR="00410743" w:rsidRDefault="00410743" w:rsidP="00410743">
            <w:pPr>
              <w:jc w:val="center"/>
            </w:pPr>
            <w:r>
              <w:t>Pumpa za vodu motorna SEH 80X 7253 HONDA</w:t>
            </w:r>
          </w:p>
        </w:tc>
        <w:tc>
          <w:tcPr>
            <w:tcW w:w="1240" w:type="dxa"/>
            <w:vAlign w:val="center"/>
          </w:tcPr>
          <w:p w:rsidR="00410743" w:rsidRDefault="00410743" w:rsidP="00410743">
            <w:pPr>
              <w:jc w:val="center"/>
            </w:pPr>
            <w:r>
              <w:t>kom</w:t>
            </w:r>
          </w:p>
        </w:tc>
        <w:tc>
          <w:tcPr>
            <w:tcW w:w="1335" w:type="dxa"/>
            <w:vAlign w:val="center"/>
          </w:tcPr>
          <w:p w:rsidR="00410743" w:rsidRDefault="00410743" w:rsidP="00410743">
            <w:pPr>
              <w:jc w:val="center"/>
            </w:pPr>
            <w:r>
              <w:t>1</w:t>
            </w:r>
          </w:p>
        </w:tc>
      </w:tr>
    </w:tbl>
    <w:p w:rsidR="00410743" w:rsidRDefault="00410743" w:rsidP="00792AAD">
      <w:pPr>
        <w:jc w:val="both"/>
        <w:outlineLvl w:val="0"/>
        <w:rPr>
          <w:sz w:val="22"/>
          <w:szCs w:val="22"/>
        </w:rPr>
      </w:pPr>
    </w:p>
    <w:p w:rsidR="005B0617" w:rsidRDefault="00410743" w:rsidP="00792AAD">
      <w:pPr>
        <w:jc w:val="both"/>
        <w:outlineLvl w:val="0"/>
        <w:rPr>
          <w:sz w:val="22"/>
          <w:szCs w:val="22"/>
        </w:rPr>
      </w:pPr>
      <w:r>
        <w:rPr>
          <w:sz w:val="22"/>
          <w:szCs w:val="22"/>
        </w:rPr>
        <w:t xml:space="preserve">42273 – Oprema – u 2023. godini Općina Vratišinec je za svoje potrebe nabavila niz opreme u ukupnom iznosu od 12.671,97 EUR. </w:t>
      </w:r>
    </w:p>
    <w:p w:rsidR="00410743" w:rsidRDefault="00410743" w:rsidP="00792AAD">
      <w:pPr>
        <w:jc w:val="both"/>
        <w:outlineLvl w:val="0"/>
        <w:rPr>
          <w:sz w:val="22"/>
          <w:szCs w:val="22"/>
        </w:rPr>
      </w:pPr>
      <w:r>
        <w:rPr>
          <w:sz w:val="22"/>
          <w:szCs w:val="22"/>
        </w:rPr>
        <w:t>Nabavljena je sljedeća oprema:</w:t>
      </w:r>
    </w:p>
    <w:p w:rsidR="00410743" w:rsidRDefault="00410743" w:rsidP="00792AAD">
      <w:pPr>
        <w:jc w:val="both"/>
        <w:outlineLvl w:val="0"/>
        <w:rPr>
          <w:sz w:val="22"/>
          <w:szCs w:val="22"/>
        </w:rPr>
      </w:pPr>
    </w:p>
    <w:tbl>
      <w:tblPr>
        <w:tblW w:w="9047" w:type="dxa"/>
        <w:tblLook w:val="04A0" w:firstRow="1" w:lastRow="0" w:firstColumn="1" w:lastColumn="0" w:noHBand="0" w:noVBand="1"/>
      </w:tblPr>
      <w:tblGrid>
        <w:gridCol w:w="6973"/>
        <w:gridCol w:w="2074"/>
      </w:tblGrid>
      <w:tr w:rsidR="00410743" w:rsidTr="00410743">
        <w:trPr>
          <w:trHeight w:val="289"/>
        </w:trPr>
        <w:tc>
          <w:tcPr>
            <w:tcW w:w="6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Stajačice 5 komada</w:t>
            </w:r>
          </w:p>
        </w:tc>
        <w:tc>
          <w:tcPr>
            <w:tcW w:w="2074" w:type="dxa"/>
            <w:tcBorders>
              <w:top w:val="single" w:sz="4" w:space="0" w:color="auto"/>
              <w:left w:val="nil"/>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 xml:space="preserve">587,95   </w:t>
            </w:r>
          </w:p>
        </w:tc>
      </w:tr>
      <w:tr w:rsidR="00410743" w:rsidTr="00410743">
        <w:trPr>
          <w:trHeight w:val="289"/>
        </w:trPr>
        <w:tc>
          <w:tcPr>
            <w:tcW w:w="6973" w:type="dxa"/>
            <w:tcBorders>
              <w:top w:val="nil"/>
              <w:left w:val="single" w:sz="4" w:space="0" w:color="auto"/>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Hladnjak Candy</w:t>
            </w:r>
          </w:p>
        </w:tc>
        <w:tc>
          <w:tcPr>
            <w:tcW w:w="2074" w:type="dxa"/>
            <w:tcBorders>
              <w:top w:val="nil"/>
              <w:left w:val="nil"/>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 xml:space="preserve">185,81   </w:t>
            </w:r>
          </w:p>
        </w:tc>
      </w:tr>
      <w:tr w:rsidR="00410743" w:rsidTr="00410743">
        <w:trPr>
          <w:trHeight w:val="289"/>
        </w:trPr>
        <w:tc>
          <w:tcPr>
            <w:tcW w:w="6973" w:type="dxa"/>
            <w:tcBorders>
              <w:top w:val="nil"/>
              <w:left w:val="single" w:sz="4" w:space="0" w:color="auto"/>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Solarna pametna klupa 3 kom</w:t>
            </w:r>
          </w:p>
        </w:tc>
        <w:tc>
          <w:tcPr>
            <w:tcW w:w="2074" w:type="dxa"/>
            <w:tcBorders>
              <w:top w:val="nil"/>
              <w:left w:val="nil"/>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 xml:space="preserve">3.225,00   </w:t>
            </w:r>
          </w:p>
        </w:tc>
      </w:tr>
      <w:tr w:rsidR="00410743" w:rsidTr="00410743">
        <w:trPr>
          <w:trHeight w:val="289"/>
        </w:trPr>
        <w:tc>
          <w:tcPr>
            <w:tcW w:w="6973" w:type="dxa"/>
            <w:tcBorders>
              <w:top w:val="nil"/>
              <w:left w:val="single" w:sz="4" w:space="0" w:color="auto"/>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Solarna pametna autobusna Mirage</w:t>
            </w:r>
          </w:p>
        </w:tc>
        <w:tc>
          <w:tcPr>
            <w:tcW w:w="2074" w:type="dxa"/>
            <w:tcBorders>
              <w:top w:val="nil"/>
              <w:left w:val="nil"/>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 xml:space="preserve">3.437,50   </w:t>
            </w:r>
          </w:p>
        </w:tc>
      </w:tr>
      <w:tr w:rsidR="00410743" w:rsidTr="00410743">
        <w:trPr>
          <w:trHeight w:val="289"/>
        </w:trPr>
        <w:tc>
          <w:tcPr>
            <w:tcW w:w="6973" w:type="dxa"/>
            <w:tcBorders>
              <w:top w:val="nil"/>
              <w:left w:val="single" w:sz="4" w:space="0" w:color="auto"/>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Suncobrani 5 komada s postoljem</w:t>
            </w:r>
          </w:p>
        </w:tc>
        <w:tc>
          <w:tcPr>
            <w:tcW w:w="2074" w:type="dxa"/>
            <w:tcBorders>
              <w:top w:val="nil"/>
              <w:left w:val="nil"/>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 xml:space="preserve">2.675,00   </w:t>
            </w:r>
          </w:p>
        </w:tc>
      </w:tr>
      <w:tr w:rsidR="00410743" w:rsidTr="00410743">
        <w:trPr>
          <w:trHeight w:val="289"/>
        </w:trPr>
        <w:tc>
          <w:tcPr>
            <w:tcW w:w="6973" w:type="dxa"/>
            <w:tcBorders>
              <w:top w:val="nil"/>
              <w:left w:val="single" w:sz="4" w:space="0" w:color="auto"/>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fleksibilni poliuretanski stupići crni - kod Miragea</w:t>
            </w:r>
          </w:p>
        </w:tc>
        <w:tc>
          <w:tcPr>
            <w:tcW w:w="2074" w:type="dxa"/>
            <w:tcBorders>
              <w:top w:val="nil"/>
              <w:left w:val="nil"/>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 xml:space="preserve">1.410,00   </w:t>
            </w:r>
          </w:p>
        </w:tc>
      </w:tr>
      <w:tr w:rsidR="00410743" w:rsidTr="00410743">
        <w:trPr>
          <w:trHeight w:val="318"/>
        </w:trPr>
        <w:tc>
          <w:tcPr>
            <w:tcW w:w="6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Garnitura vrtna 5 komada NK Napredak</w:t>
            </w:r>
          </w:p>
        </w:tc>
        <w:tc>
          <w:tcPr>
            <w:tcW w:w="2074" w:type="dxa"/>
            <w:tcBorders>
              <w:top w:val="single" w:sz="4" w:space="0" w:color="auto"/>
              <w:left w:val="nil"/>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 xml:space="preserve">875,97   </w:t>
            </w:r>
          </w:p>
        </w:tc>
      </w:tr>
      <w:tr w:rsidR="00410743" w:rsidTr="00410743">
        <w:trPr>
          <w:trHeight w:val="318"/>
        </w:trPr>
        <w:tc>
          <w:tcPr>
            <w:tcW w:w="6973" w:type="dxa"/>
            <w:tcBorders>
              <w:top w:val="nil"/>
              <w:left w:val="single" w:sz="4" w:space="0" w:color="auto"/>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Hladnjak VOX</w:t>
            </w:r>
          </w:p>
        </w:tc>
        <w:tc>
          <w:tcPr>
            <w:tcW w:w="2074" w:type="dxa"/>
            <w:tcBorders>
              <w:top w:val="nil"/>
              <w:left w:val="nil"/>
              <w:bottom w:val="single" w:sz="4" w:space="0" w:color="auto"/>
              <w:right w:val="single" w:sz="4" w:space="0" w:color="auto"/>
            </w:tcBorders>
            <w:shd w:val="clear" w:color="auto" w:fill="auto"/>
            <w:noWrap/>
            <w:vAlign w:val="center"/>
            <w:hideMark/>
          </w:tcPr>
          <w:p w:rsidR="00410743" w:rsidRPr="00410743" w:rsidRDefault="00410743">
            <w:pPr>
              <w:jc w:val="center"/>
              <w:rPr>
                <w:color w:val="000000"/>
              </w:rPr>
            </w:pPr>
            <w:r w:rsidRPr="00410743">
              <w:rPr>
                <w:color w:val="000000"/>
              </w:rPr>
              <w:t xml:space="preserve">274,74   </w:t>
            </w:r>
          </w:p>
        </w:tc>
      </w:tr>
    </w:tbl>
    <w:p w:rsidR="00615ABD" w:rsidRPr="00E96184" w:rsidRDefault="00615ABD" w:rsidP="000B0974">
      <w:pPr>
        <w:jc w:val="both"/>
        <w:outlineLvl w:val="0"/>
        <w:rPr>
          <w:sz w:val="22"/>
          <w:szCs w:val="22"/>
        </w:rPr>
      </w:pPr>
    </w:p>
    <w:p w:rsidR="000B0974" w:rsidRDefault="00410743" w:rsidP="000B0974">
      <w:pPr>
        <w:jc w:val="both"/>
        <w:outlineLvl w:val="0"/>
        <w:rPr>
          <w:sz w:val="22"/>
          <w:szCs w:val="22"/>
        </w:rPr>
      </w:pPr>
      <w:r>
        <w:rPr>
          <w:sz w:val="22"/>
          <w:szCs w:val="22"/>
        </w:rPr>
        <w:t>4511 – Dodatna ulaganja na građevinskim objektima – obuhvaća radove na uređenju mjesnog groblja u Vratišincu. Ukupno je uloženo 51.250,01 EUR. Projekt je sufinanciran i sredstvima Ministarstva prostornoga uređenja, graditeljstva i državne imovine iznosom od 29.200,00 EUR kao i sredstvima grada Čakovca u ukupnom iznosu u 2023. godini (1.obrok) – 10.500,00 EUR.</w:t>
      </w:r>
    </w:p>
    <w:p w:rsidR="00410743" w:rsidRDefault="00410743" w:rsidP="000B0974">
      <w:pPr>
        <w:jc w:val="both"/>
        <w:outlineLvl w:val="0"/>
        <w:rPr>
          <w:sz w:val="22"/>
          <w:szCs w:val="22"/>
        </w:rPr>
      </w:pPr>
    </w:p>
    <w:p w:rsidR="00410743" w:rsidRDefault="00410743" w:rsidP="000B0974">
      <w:pPr>
        <w:jc w:val="both"/>
        <w:outlineLvl w:val="0"/>
        <w:rPr>
          <w:sz w:val="22"/>
          <w:szCs w:val="22"/>
        </w:rPr>
      </w:pPr>
    </w:p>
    <w:p w:rsidR="00410743" w:rsidRDefault="00410743" w:rsidP="000B0974">
      <w:pPr>
        <w:jc w:val="both"/>
        <w:outlineLvl w:val="0"/>
        <w:rPr>
          <w:sz w:val="22"/>
          <w:szCs w:val="22"/>
        </w:rPr>
      </w:pPr>
    </w:p>
    <w:p w:rsidR="00410743" w:rsidRDefault="00410743" w:rsidP="000B0974">
      <w:pPr>
        <w:jc w:val="both"/>
        <w:outlineLvl w:val="0"/>
        <w:rPr>
          <w:sz w:val="22"/>
          <w:szCs w:val="22"/>
        </w:rPr>
      </w:pPr>
    </w:p>
    <w:p w:rsidR="00410743" w:rsidRDefault="00410743" w:rsidP="000B0974">
      <w:pPr>
        <w:jc w:val="both"/>
        <w:outlineLvl w:val="0"/>
        <w:rPr>
          <w:sz w:val="22"/>
          <w:szCs w:val="22"/>
        </w:rPr>
      </w:pPr>
    </w:p>
    <w:p w:rsidR="00410743" w:rsidRDefault="00410743" w:rsidP="000B0974">
      <w:pPr>
        <w:jc w:val="both"/>
        <w:outlineLvl w:val="0"/>
        <w:rPr>
          <w:sz w:val="22"/>
          <w:szCs w:val="22"/>
        </w:rPr>
      </w:pPr>
      <w:r>
        <w:rPr>
          <w:sz w:val="22"/>
          <w:szCs w:val="22"/>
        </w:rPr>
        <w:lastRenderedPageBreak/>
        <w:t xml:space="preserve">U periodu od 01.01.2023. do 23.01.2023. ostvareno je 1.191.567,22 EUR prihoda i 1.035.890,75 EUR ukupnih rashodima, tj. ostvaren je višak prihoda nad rashodima u iznosu od 155.676,47 EUR. </w:t>
      </w:r>
    </w:p>
    <w:p w:rsidR="00410743" w:rsidRDefault="00410743" w:rsidP="000B0974">
      <w:pPr>
        <w:jc w:val="both"/>
        <w:outlineLvl w:val="0"/>
        <w:rPr>
          <w:sz w:val="22"/>
          <w:szCs w:val="22"/>
        </w:rPr>
      </w:pPr>
      <w:r>
        <w:rPr>
          <w:sz w:val="22"/>
          <w:szCs w:val="22"/>
        </w:rPr>
        <w:t>Manjak prihoda od nefinancijske imovine – preneseni – 92222 – iznosi 1.068.932,42 EUR.</w:t>
      </w:r>
    </w:p>
    <w:p w:rsidR="00410743" w:rsidRDefault="00410743" w:rsidP="000B0974">
      <w:pPr>
        <w:jc w:val="both"/>
        <w:outlineLvl w:val="0"/>
        <w:rPr>
          <w:sz w:val="22"/>
          <w:szCs w:val="22"/>
        </w:rPr>
      </w:pPr>
      <w:r>
        <w:rPr>
          <w:sz w:val="22"/>
          <w:szCs w:val="22"/>
        </w:rPr>
        <w:t>Višak prihoda poslovanja – 92211 – iznosi 1.113.673,49 EUR.</w:t>
      </w:r>
    </w:p>
    <w:p w:rsidR="00410743" w:rsidRDefault="00410743" w:rsidP="000B0974">
      <w:pPr>
        <w:jc w:val="both"/>
        <w:outlineLvl w:val="0"/>
        <w:rPr>
          <w:sz w:val="22"/>
          <w:szCs w:val="22"/>
        </w:rPr>
      </w:pPr>
      <w:r>
        <w:rPr>
          <w:sz w:val="22"/>
          <w:szCs w:val="22"/>
        </w:rPr>
        <w:t>Manjak prihoda od financijske imovine – preneseni – 92223 iznosi 19.539,33 EUR</w:t>
      </w:r>
    </w:p>
    <w:p w:rsidR="00410743" w:rsidRDefault="00410743" w:rsidP="000B0974">
      <w:pPr>
        <w:jc w:val="both"/>
        <w:outlineLvl w:val="0"/>
        <w:rPr>
          <w:sz w:val="22"/>
          <w:szCs w:val="22"/>
        </w:rPr>
      </w:pPr>
    </w:p>
    <w:p w:rsidR="00410743" w:rsidRDefault="00410743" w:rsidP="000B0974">
      <w:pPr>
        <w:jc w:val="both"/>
        <w:outlineLvl w:val="0"/>
        <w:rPr>
          <w:sz w:val="22"/>
          <w:szCs w:val="22"/>
        </w:rPr>
      </w:pPr>
      <w:r>
        <w:rPr>
          <w:sz w:val="22"/>
          <w:szCs w:val="22"/>
        </w:rPr>
        <w:t>Na kraju poslovne godine ostvaren je višak za pokriće u sljedećim razdobljima u iznosu od 180.878,21 EUR.</w:t>
      </w:r>
    </w:p>
    <w:p w:rsidR="00676CAB" w:rsidRDefault="00676CAB" w:rsidP="000B0974">
      <w:pPr>
        <w:jc w:val="both"/>
        <w:outlineLvl w:val="0"/>
        <w:rPr>
          <w:sz w:val="22"/>
          <w:szCs w:val="22"/>
        </w:rPr>
      </w:pPr>
    </w:p>
    <w:p w:rsidR="00676CAB" w:rsidRDefault="00676CAB" w:rsidP="000B0974">
      <w:pPr>
        <w:jc w:val="both"/>
        <w:outlineLvl w:val="0"/>
        <w:rPr>
          <w:sz w:val="22"/>
          <w:szCs w:val="22"/>
        </w:rPr>
      </w:pPr>
      <w:r>
        <w:rPr>
          <w:sz w:val="22"/>
          <w:szCs w:val="22"/>
        </w:rPr>
        <w:t>Stanje novčanih sredstava na početku izvještajnog razdoblja iznose 68.322,85 EUR. Ostvareno je ukupno 1.265.277,42 EUR priljeva i 1.123.720,24 EUR odljeva stoga je stanje novčanih sredstava na dan 31.12.2023. godine 209.880,03 EUR (žiroračun 209.868,99 EUR, blagajna 11,04 EUR).</w:t>
      </w:r>
    </w:p>
    <w:p w:rsidR="00410743" w:rsidRDefault="00410743" w:rsidP="000B0974">
      <w:pPr>
        <w:jc w:val="both"/>
        <w:outlineLvl w:val="0"/>
        <w:rPr>
          <w:sz w:val="22"/>
          <w:szCs w:val="22"/>
        </w:rPr>
      </w:pPr>
    </w:p>
    <w:p w:rsidR="00410743" w:rsidRDefault="00A633C7" w:rsidP="00A633C7">
      <w:pPr>
        <w:pStyle w:val="Odlomakpopisa"/>
        <w:numPr>
          <w:ilvl w:val="0"/>
          <w:numId w:val="19"/>
        </w:numPr>
        <w:jc w:val="both"/>
        <w:outlineLvl w:val="0"/>
        <w:rPr>
          <w:b/>
          <w:sz w:val="22"/>
          <w:szCs w:val="22"/>
        </w:rPr>
      </w:pPr>
      <w:r w:rsidRPr="00A633C7">
        <w:rPr>
          <w:b/>
          <w:sz w:val="22"/>
          <w:szCs w:val="22"/>
        </w:rPr>
        <w:t>Bilješke uz RAS-Funkcijski</w:t>
      </w:r>
    </w:p>
    <w:p w:rsidR="00A633C7" w:rsidRDefault="00A633C7" w:rsidP="00A633C7">
      <w:pPr>
        <w:jc w:val="both"/>
        <w:outlineLvl w:val="0"/>
        <w:rPr>
          <w:b/>
          <w:sz w:val="22"/>
          <w:szCs w:val="22"/>
        </w:rPr>
      </w:pPr>
    </w:p>
    <w:p w:rsidR="00A633C7" w:rsidRDefault="00A633C7" w:rsidP="00A633C7">
      <w:pPr>
        <w:jc w:val="both"/>
        <w:outlineLvl w:val="0"/>
        <w:rPr>
          <w:sz w:val="22"/>
          <w:szCs w:val="22"/>
        </w:rPr>
      </w:pPr>
      <w:r w:rsidRPr="00A633C7">
        <w:rPr>
          <w:sz w:val="22"/>
          <w:szCs w:val="22"/>
        </w:rPr>
        <w:t>Šifra R1</w:t>
      </w:r>
      <w:r>
        <w:rPr>
          <w:b/>
          <w:sz w:val="22"/>
          <w:szCs w:val="22"/>
        </w:rPr>
        <w:t xml:space="preserve"> – </w:t>
      </w:r>
      <w:r w:rsidRPr="00A633C7">
        <w:rPr>
          <w:sz w:val="22"/>
          <w:szCs w:val="22"/>
        </w:rPr>
        <w:t>Ukupni rashodi u izvještajnom razdoblju iznose 1.035.890,75 EUR</w:t>
      </w:r>
      <w:r>
        <w:rPr>
          <w:sz w:val="22"/>
          <w:szCs w:val="22"/>
        </w:rPr>
        <w:t>. Prema izvršenju prema funkcijskoj klasifikaciji najveći udio zauzima iznos od 384.371,90 EUR, a odnosi se na Ekonomske poslove</w:t>
      </w:r>
      <w:r w:rsidR="004A26A2">
        <w:rPr>
          <w:sz w:val="22"/>
          <w:szCs w:val="22"/>
        </w:rPr>
        <w:t xml:space="preserve"> (04).</w:t>
      </w:r>
    </w:p>
    <w:p w:rsidR="004A26A2" w:rsidRDefault="004A26A2" w:rsidP="00A633C7">
      <w:pPr>
        <w:jc w:val="both"/>
        <w:outlineLvl w:val="0"/>
        <w:rPr>
          <w:sz w:val="22"/>
          <w:szCs w:val="22"/>
        </w:rPr>
      </w:pPr>
      <w:r>
        <w:rPr>
          <w:sz w:val="22"/>
          <w:szCs w:val="22"/>
        </w:rPr>
        <w:t xml:space="preserve">Za opće javne usluge izdvojeno je 192.765,55 EUR, dok je u 2022. godini za isto izdvojeno 303.529,50 EUR. </w:t>
      </w:r>
    </w:p>
    <w:p w:rsidR="004A26A2" w:rsidRDefault="004A26A2" w:rsidP="00A633C7">
      <w:pPr>
        <w:jc w:val="both"/>
        <w:outlineLvl w:val="0"/>
        <w:rPr>
          <w:sz w:val="22"/>
          <w:szCs w:val="22"/>
        </w:rPr>
      </w:pPr>
    </w:p>
    <w:p w:rsidR="004A26A2" w:rsidRPr="00676CAB" w:rsidRDefault="004A26A2" w:rsidP="004A26A2">
      <w:pPr>
        <w:pStyle w:val="Odlomakpopisa"/>
        <w:numPr>
          <w:ilvl w:val="0"/>
          <w:numId w:val="19"/>
        </w:numPr>
        <w:jc w:val="both"/>
        <w:outlineLvl w:val="0"/>
        <w:rPr>
          <w:b/>
          <w:sz w:val="22"/>
          <w:szCs w:val="22"/>
        </w:rPr>
      </w:pPr>
      <w:r w:rsidRPr="00676CAB">
        <w:rPr>
          <w:b/>
          <w:sz w:val="22"/>
          <w:szCs w:val="22"/>
        </w:rPr>
        <w:t>Bilješke uz Bilancu</w:t>
      </w:r>
    </w:p>
    <w:p w:rsidR="004A26A2" w:rsidRDefault="004A26A2" w:rsidP="004A26A2">
      <w:pPr>
        <w:jc w:val="both"/>
        <w:outlineLvl w:val="0"/>
        <w:rPr>
          <w:sz w:val="22"/>
          <w:szCs w:val="22"/>
        </w:rPr>
      </w:pPr>
    </w:p>
    <w:tbl>
      <w:tblPr>
        <w:tblStyle w:val="Reetkatablice"/>
        <w:tblW w:w="0" w:type="auto"/>
        <w:tblLook w:val="04A0" w:firstRow="1" w:lastRow="0" w:firstColumn="1" w:lastColumn="0" w:noHBand="0" w:noVBand="1"/>
      </w:tblPr>
      <w:tblGrid>
        <w:gridCol w:w="2265"/>
        <w:gridCol w:w="2265"/>
        <w:gridCol w:w="2266"/>
        <w:gridCol w:w="2266"/>
      </w:tblGrid>
      <w:tr w:rsidR="00FB3D86" w:rsidTr="00620BFB">
        <w:tc>
          <w:tcPr>
            <w:tcW w:w="9062" w:type="dxa"/>
            <w:gridSpan w:val="4"/>
          </w:tcPr>
          <w:p w:rsidR="00FB3D86" w:rsidRPr="00FA40EE" w:rsidRDefault="00FB3D86" w:rsidP="00FB3D86">
            <w:pPr>
              <w:jc w:val="center"/>
              <w:outlineLvl w:val="0"/>
              <w:rPr>
                <w:b/>
                <w:sz w:val="22"/>
                <w:szCs w:val="22"/>
              </w:rPr>
            </w:pPr>
            <w:r w:rsidRPr="00FA40EE">
              <w:rPr>
                <w:b/>
                <w:sz w:val="22"/>
                <w:szCs w:val="22"/>
              </w:rPr>
              <w:t xml:space="preserve">IMOVINA = </w:t>
            </w:r>
            <w:r>
              <w:rPr>
                <w:b/>
                <w:sz w:val="22"/>
                <w:szCs w:val="22"/>
              </w:rPr>
              <w:t xml:space="preserve">3.859.460,64 EUR </w:t>
            </w:r>
            <w:r w:rsidRPr="00FA40EE">
              <w:rPr>
                <w:b/>
                <w:sz w:val="22"/>
                <w:szCs w:val="22"/>
              </w:rPr>
              <w:t>(B001</w:t>
            </w:r>
            <w:r>
              <w:rPr>
                <w:b/>
                <w:sz w:val="22"/>
                <w:szCs w:val="22"/>
              </w:rPr>
              <w:t xml:space="preserve"> i B003)</w:t>
            </w:r>
          </w:p>
        </w:tc>
      </w:tr>
      <w:tr w:rsidR="00FB3D86" w:rsidTr="00620BFB">
        <w:tc>
          <w:tcPr>
            <w:tcW w:w="2265" w:type="dxa"/>
          </w:tcPr>
          <w:p w:rsidR="00FB3D86" w:rsidRDefault="00FB3D86" w:rsidP="00620BFB">
            <w:pPr>
              <w:outlineLvl w:val="0"/>
              <w:rPr>
                <w:sz w:val="22"/>
                <w:szCs w:val="22"/>
              </w:rPr>
            </w:pPr>
            <w:r>
              <w:rPr>
                <w:sz w:val="22"/>
                <w:szCs w:val="22"/>
              </w:rPr>
              <w:t>0 – nefinancijska imovina (B002)</w:t>
            </w:r>
          </w:p>
        </w:tc>
        <w:tc>
          <w:tcPr>
            <w:tcW w:w="2265" w:type="dxa"/>
          </w:tcPr>
          <w:p w:rsidR="00FB3D86" w:rsidRDefault="00FB3D86" w:rsidP="00620BFB">
            <w:pPr>
              <w:outlineLvl w:val="0"/>
              <w:rPr>
                <w:sz w:val="22"/>
                <w:szCs w:val="22"/>
              </w:rPr>
            </w:pPr>
            <w:r>
              <w:rPr>
                <w:sz w:val="22"/>
                <w:szCs w:val="22"/>
              </w:rPr>
              <w:t>2.422.650,75 EUR</w:t>
            </w:r>
          </w:p>
        </w:tc>
        <w:tc>
          <w:tcPr>
            <w:tcW w:w="2266" w:type="dxa"/>
          </w:tcPr>
          <w:p w:rsidR="00FB3D86" w:rsidRDefault="00FB3D86" w:rsidP="00620BFB">
            <w:pPr>
              <w:outlineLvl w:val="0"/>
              <w:rPr>
                <w:sz w:val="22"/>
                <w:szCs w:val="22"/>
              </w:rPr>
            </w:pPr>
            <w:r>
              <w:rPr>
                <w:sz w:val="22"/>
                <w:szCs w:val="22"/>
              </w:rPr>
              <w:t>2 – obveze (2)</w:t>
            </w:r>
          </w:p>
        </w:tc>
        <w:tc>
          <w:tcPr>
            <w:tcW w:w="2266" w:type="dxa"/>
          </w:tcPr>
          <w:p w:rsidR="00FB3D86" w:rsidRDefault="00FB3D86" w:rsidP="00620BFB">
            <w:pPr>
              <w:outlineLvl w:val="0"/>
              <w:rPr>
                <w:sz w:val="22"/>
                <w:szCs w:val="22"/>
              </w:rPr>
            </w:pPr>
            <w:r>
              <w:rPr>
                <w:sz w:val="22"/>
                <w:szCs w:val="22"/>
              </w:rPr>
              <w:t>39.285,96 EUR</w:t>
            </w:r>
          </w:p>
        </w:tc>
      </w:tr>
      <w:tr w:rsidR="00FB3D86" w:rsidTr="00620BFB">
        <w:tc>
          <w:tcPr>
            <w:tcW w:w="2265" w:type="dxa"/>
          </w:tcPr>
          <w:p w:rsidR="00FB3D86" w:rsidRDefault="00FB3D86" w:rsidP="00620BFB">
            <w:pPr>
              <w:outlineLvl w:val="0"/>
              <w:rPr>
                <w:sz w:val="22"/>
                <w:szCs w:val="22"/>
              </w:rPr>
            </w:pPr>
            <w:r>
              <w:rPr>
                <w:sz w:val="22"/>
                <w:szCs w:val="22"/>
              </w:rPr>
              <w:t>1 – financijska imovina (1)</w:t>
            </w:r>
          </w:p>
        </w:tc>
        <w:tc>
          <w:tcPr>
            <w:tcW w:w="2265" w:type="dxa"/>
          </w:tcPr>
          <w:p w:rsidR="00FB3D86" w:rsidRDefault="00FB3D86" w:rsidP="00620BFB">
            <w:pPr>
              <w:outlineLvl w:val="0"/>
              <w:rPr>
                <w:sz w:val="22"/>
                <w:szCs w:val="22"/>
              </w:rPr>
            </w:pPr>
            <w:r>
              <w:rPr>
                <w:sz w:val="22"/>
                <w:szCs w:val="22"/>
              </w:rPr>
              <w:t>1.436.809,89 EUR</w:t>
            </w:r>
          </w:p>
        </w:tc>
        <w:tc>
          <w:tcPr>
            <w:tcW w:w="2266" w:type="dxa"/>
          </w:tcPr>
          <w:p w:rsidR="00FB3D86" w:rsidRDefault="00FB3D86" w:rsidP="00620BFB">
            <w:pPr>
              <w:outlineLvl w:val="0"/>
              <w:rPr>
                <w:sz w:val="22"/>
                <w:szCs w:val="22"/>
              </w:rPr>
            </w:pPr>
            <w:r>
              <w:rPr>
                <w:sz w:val="22"/>
                <w:szCs w:val="22"/>
              </w:rPr>
              <w:t>9 – vlastiti izvori (9)</w:t>
            </w:r>
          </w:p>
        </w:tc>
        <w:tc>
          <w:tcPr>
            <w:tcW w:w="2266" w:type="dxa"/>
          </w:tcPr>
          <w:p w:rsidR="00FB3D86" w:rsidRDefault="00FB3D86" w:rsidP="00620BFB">
            <w:pPr>
              <w:outlineLvl w:val="0"/>
              <w:rPr>
                <w:sz w:val="22"/>
                <w:szCs w:val="22"/>
              </w:rPr>
            </w:pPr>
            <w:r>
              <w:rPr>
                <w:sz w:val="22"/>
                <w:szCs w:val="22"/>
              </w:rPr>
              <w:t>3.820.174,68 EUR</w:t>
            </w:r>
          </w:p>
        </w:tc>
      </w:tr>
      <w:tr w:rsidR="00FB3D86" w:rsidTr="00620BFB">
        <w:tc>
          <w:tcPr>
            <w:tcW w:w="4530" w:type="dxa"/>
            <w:gridSpan w:val="2"/>
          </w:tcPr>
          <w:p w:rsidR="00FB3D86" w:rsidRPr="00E82AB2" w:rsidRDefault="00FB3D86" w:rsidP="00620BFB">
            <w:pPr>
              <w:jc w:val="center"/>
              <w:outlineLvl w:val="0"/>
              <w:rPr>
                <w:b/>
                <w:sz w:val="22"/>
                <w:szCs w:val="22"/>
              </w:rPr>
            </w:pPr>
            <w:r>
              <w:rPr>
                <w:b/>
                <w:sz w:val="22"/>
                <w:szCs w:val="22"/>
              </w:rPr>
              <w:t>3.859.460,64 EUR</w:t>
            </w:r>
          </w:p>
        </w:tc>
        <w:tc>
          <w:tcPr>
            <w:tcW w:w="4532" w:type="dxa"/>
            <w:gridSpan w:val="2"/>
          </w:tcPr>
          <w:p w:rsidR="00FB3D86" w:rsidRPr="00E82AB2" w:rsidRDefault="00FB3D86" w:rsidP="00620BFB">
            <w:pPr>
              <w:jc w:val="center"/>
              <w:outlineLvl w:val="0"/>
              <w:rPr>
                <w:b/>
                <w:sz w:val="22"/>
                <w:szCs w:val="22"/>
              </w:rPr>
            </w:pPr>
            <w:r>
              <w:rPr>
                <w:b/>
                <w:sz w:val="22"/>
                <w:szCs w:val="22"/>
              </w:rPr>
              <w:t>3.859.460,64 EUR</w:t>
            </w:r>
          </w:p>
        </w:tc>
      </w:tr>
    </w:tbl>
    <w:p w:rsidR="004A26A2" w:rsidRDefault="004A26A2" w:rsidP="004A26A2">
      <w:pPr>
        <w:jc w:val="both"/>
        <w:outlineLvl w:val="0"/>
        <w:rPr>
          <w:sz w:val="22"/>
          <w:szCs w:val="22"/>
        </w:rPr>
      </w:pPr>
    </w:p>
    <w:p w:rsidR="00FB3D86" w:rsidRDefault="00FB3D86" w:rsidP="004A26A2">
      <w:pPr>
        <w:jc w:val="both"/>
        <w:outlineLvl w:val="0"/>
        <w:rPr>
          <w:sz w:val="22"/>
          <w:szCs w:val="22"/>
        </w:rPr>
      </w:pPr>
      <w:r>
        <w:rPr>
          <w:sz w:val="22"/>
          <w:szCs w:val="22"/>
        </w:rPr>
        <w:t>Na početku izvještajnoj razdoblja odnosno 1.1.2023. godine ukupna imovina je iznosila 3.265.115.82</w:t>
      </w:r>
      <w:r w:rsidR="003238EB">
        <w:rPr>
          <w:sz w:val="22"/>
          <w:szCs w:val="22"/>
        </w:rPr>
        <w:t>, a na dan 31.12.2023. ona iznosi 3.859.460,64 EUR.</w:t>
      </w:r>
    </w:p>
    <w:p w:rsidR="003238EB" w:rsidRDefault="003238EB" w:rsidP="004A26A2">
      <w:pPr>
        <w:jc w:val="both"/>
        <w:outlineLvl w:val="0"/>
        <w:rPr>
          <w:sz w:val="22"/>
          <w:szCs w:val="22"/>
        </w:rPr>
      </w:pPr>
    </w:p>
    <w:p w:rsidR="003238EB" w:rsidRDefault="003238EB" w:rsidP="004A26A2">
      <w:pPr>
        <w:jc w:val="both"/>
        <w:outlineLvl w:val="0"/>
        <w:rPr>
          <w:sz w:val="22"/>
          <w:szCs w:val="22"/>
        </w:rPr>
      </w:pPr>
      <w:r>
        <w:rPr>
          <w:sz w:val="22"/>
          <w:szCs w:val="22"/>
        </w:rPr>
        <w:t xml:space="preserve">011 – u poslovne knjige evidentirana je ošasna imovina koja je ostala nakon prodaje (iza pokojnih Leško, Gojnik, Varga, Lisjak, Juršić), katastarske čestice 869, 873, 870, 872, 871 k.o. Vratišinec. Ukupno povećanje zemljišta u iznosu od 88.500,26 EUR. Povećanje za 276,10%. </w:t>
      </w:r>
    </w:p>
    <w:p w:rsidR="00620BFB" w:rsidRDefault="00620BFB" w:rsidP="004A26A2">
      <w:pPr>
        <w:jc w:val="both"/>
        <w:outlineLvl w:val="0"/>
        <w:rPr>
          <w:sz w:val="22"/>
          <w:szCs w:val="22"/>
        </w:rPr>
      </w:pPr>
    </w:p>
    <w:p w:rsidR="00620BFB" w:rsidRDefault="00620BFB" w:rsidP="004A26A2">
      <w:pPr>
        <w:jc w:val="both"/>
        <w:outlineLvl w:val="0"/>
        <w:rPr>
          <w:sz w:val="22"/>
          <w:szCs w:val="22"/>
        </w:rPr>
      </w:pPr>
      <w:r>
        <w:rPr>
          <w:sz w:val="22"/>
          <w:szCs w:val="22"/>
        </w:rPr>
        <w:t>Ispravak vrijednosti građevinskih objekata za 2023. godinu iznosi: 88.712,08 EUR, a na dan 31.12.2023. godine on iznosi: 850.873,22 EUR (02921).</w:t>
      </w:r>
    </w:p>
    <w:p w:rsidR="00620BFB" w:rsidRDefault="00620BFB" w:rsidP="004A26A2">
      <w:pPr>
        <w:jc w:val="both"/>
        <w:outlineLvl w:val="0"/>
        <w:rPr>
          <w:sz w:val="22"/>
          <w:szCs w:val="22"/>
        </w:rPr>
      </w:pPr>
      <w:r>
        <w:rPr>
          <w:sz w:val="22"/>
          <w:szCs w:val="22"/>
        </w:rPr>
        <w:t>Ispravak vrijednosti opreme za 2023. godinu iznosi: 20.012,12 EUR, a na dan 31.12.2023. godine od iznosi: 128.009,82 EUR (02922).</w:t>
      </w:r>
    </w:p>
    <w:p w:rsidR="00620BFB" w:rsidRDefault="00620BFB" w:rsidP="004A26A2">
      <w:pPr>
        <w:jc w:val="both"/>
        <w:outlineLvl w:val="0"/>
        <w:rPr>
          <w:sz w:val="22"/>
          <w:szCs w:val="22"/>
        </w:rPr>
      </w:pPr>
    </w:p>
    <w:p w:rsidR="00620BFB" w:rsidRDefault="00620BFB" w:rsidP="004A26A2">
      <w:pPr>
        <w:jc w:val="both"/>
        <w:outlineLvl w:val="0"/>
        <w:rPr>
          <w:sz w:val="22"/>
          <w:szCs w:val="22"/>
        </w:rPr>
      </w:pPr>
      <w:r>
        <w:rPr>
          <w:sz w:val="22"/>
          <w:szCs w:val="22"/>
        </w:rPr>
        <w:t xml:space="preserve">U razdoblju 01.01.2023. godine do 31.12.2023. godine nabavljeno je sitnog inventara u ukupno vrijednosti od 1.848,43 EUR.  </w:t>
      </w:r>
    </w:p>
    <w:p w:rsidR="00620BFB" w:rsidRDefault="00620BFB" w:rsidP="004A26A2">
      <w:pPr>
        <w:jc w:val="both"/>
        <w:outlineLvl w:val="0"/>
        <w:rPr>
          <w:sz w:val="22"/>
          <w:szCs w:val="22"/>
        </w:rPr>
      </w:pPr>
      <w:r>
        <w:rPr>
          <w:noProof/>
          <w:sz w:val="22"/>
          <w:szCs w:val="22"/>
        </w:rPr>
        <w:drawing>
          <wp:anchor distT="0" distB="0" distL="114300" distR="114300" simplePos="0" relativeHeight="251661312" behindDoc="1" locked="0" layoutInCell="1" allowOverlap="1">
            <wp:simplePos x="0" y="0"/>
            <wp:positionH relativeFrom="column">
              <wp:posOffset>1119588</wp:posOffset>
            </wp:positionH>
            <wp:positionV relativeFrom="paragraph">
              <wp:posOffset>101958</wp:posOffset>
            </wp:positionV>
            <wp:extent cx="3904569" cy="2044425"/>
            <wp:effectExtent l="0" t="0" r="127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4569" cy="2044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38EB" w:rsidRDefault="003238EB" w:rsidP="004A26A2">
      <w:pPr>
        <w:jc w:val="both"/>
        <w:outlineLvl w:val="0"/>
        <w:rPr>
          <w:sz w:val="22"/>
          <w:szCs w:val="22"/>
        </w:rPr>
      </w:pPr>
    </w:p>
    <w:p w:rsidR="00676CAB" w:rsidRDefault="00676CAB" w:rsidP="004A26A2">
      <w:pPr>
        <w:jc w:val="both"/>
        <w:outlineLvl w:val="0"/>
        <w:rPr>
          <w:sz w:val="22"/>
          <w:szCs w:val="22"/>
        </w:rPr>
      </w:pPr>
    </w:p>
    <w:p w:rsidR="003238EB" w:rsidRDefault="003238EB" w:rsidP="004A26A2">
      <w:pPr>
        <w:jc w:val="both"/>
        <w:outlineLvl w:val="0"/>
        <w:rPr>
          <w:sz w:val="22"/>
          <w:szCs w:val="22"/>
        </w:rPr>
      </w:pPr>
    </w:p>
    <w:p w:rsidR="00620BFB" w:rsidRDefault="00620BFB" w:rsidP="004A26A2">
      <w:pPr>
        <w:jc w:val="both"/>
        <w:outlineLvl w:val="0"/>
        <w:rPr>
          <w:sz w:val="22"/>
          <w:szCs w:val="22"/>
        </w:rPr>
      </w:pPr>
    </w:p>
    <w:p w:rsidR="00620BFB" w:rsidRDefault="00620BFB" w:rsidP="004A26A2">
      <w:pPr>
        <w:jc w:val="both"/>
        <w:outlineLvl w:val="0"/>
        <w:rPr>
          <w:sz w:val="22"/>
          <w:szCs w:val="22"/>
        </w:rPr>
      </w:pPr>
    </w:p>
    <w:p w:rsidR="00620BFB" w:rsidRDefault="00620BFB" w:rsidP="004A26A2">
      <w:pPr>
        <w:jc w:val="both"/>
        <w:outlineLvl w:val="0"/>
        <w:rPr>
          <w:sz w:val="22"/>
          <w:szCs w:val="22"/>
        </w:rPr>
      </w:pPr>
    </w:p>
    <w:p w:rsidR="00620BFB" w:rsidRDefault="00620BFB" w:rsidP="004A26A2">
      <w:pPr>
        <w:jc w:val="both"/>
        <w:outlineLvl w:val="0"/>
        <w:rPr>
          <w:sz w:val="22"/>
          <w:szCs w:val="22"/>
        </w:rPr>
      </w:pPr>
    </w:p>
    <w:p w:rsidR="00620BFB" w:rsidRDefault="00620BFB" w:rsidP="004A26A2">
      <w:pPr>
        <w:jc w:val="both"/>
        <w:outlineLvl w:val="0"/>
        <w:rPr>
          <w:sz w:val="22"/>
          <w:szCs w:val="22"/>
        </w:rPr>
      </w:pPr>
    </w:p>
    <w:p w:rsidR="00620BFB" w:rsidRDefault="00620BFB" w:rsidP="004A26A2">
      <w:pPr>
        <w:jc w:val="both"/>
        <w:outlineLvl w:val="0"/>
        <w:rPr>
          <w:sz w:val="22"/>
          <w:szCs w:val="22"/>
        </w:rPr>
      </w:pPr>
    </w:p>
    <w:p w:rsidR="00620BFB" w:rsidRDefault="00620BFB" w:rsidP="004A26A2">
      <w:pPr>
        <w:jc w:val="both"/>
        <w:outlineLvl w:val="0"/>
        <w:rPr>
          <w:sz w:val="22"/>
          <w:szCs w:val="22"/>
        </w:rPr>
      </w:pPr>
    </w:p>
    <w:p w:rsidR="00620BFB" w:rsidRDefault="00620BFB" w:rsidP="004A26A2">
      <w:pPr>
        <w:jc w:val="both"/>
        <w:outlineLvl w:val="0"/>
        <w:rPr>
          <w:sz w:val="22"/>
          <w:szCs w:val="22"/>
        </w:rPr>
      </w:pPr>
      <w:r>
        <w:rPr>
          <w:sz w:val="22"/>
          <w:szCs w:val="22"/>
        </w:rPr>
        <w:lastRenderedPageBreak/>
        <w:t xml:space="preserve">Ukupna financijska imovina (1) iznosi </w:t>
      </w:r>
      <w:r w:rsidRPr="004858CC">
        <w:rPr>
          <w:b/>
          <w:sz w:val="22"/>
          <w:szCs w:val="22"/>
        </w:rPr>
        <w:t>1.436.809,89 EUR.</w:t>
      </w:r>
    </w:p>
    <w:p w:rsidR="00620BFB" w:rsidRDefault="00620BFB" w:rsidP="004A26A2">
      <w:pPr>
        <w:jc w:val="both"/>
        <w:outlineLvl w:val="0"/>
        <w:rPr>
          <w:sz w:val="22"/>
          <w:szCs w:val="22"/>
        </w:rPr>
      </w:pPr>
    </w:p>
    <w:p w:rsidR="00620BFB" w:rsidRDefault="00620BFB" w:rsidP="004A26A2">
      <w:pPr>
        <w:jc w:val="both"/>
        <w:outlineLvl w:val="0"/>
        <w:rPr>
          <w:sz w:val="22"/>
          <w:szCs w:val="22"/>
        </w:rPr>
      </w:pPr>
      <w:r>
        <w:rPr>
          <w:sz w:val="22"/>
          <w:szCs w:val="22"/>
        </w:rPr>
        <w:t xml:space="preserve">11 – novac u banci i blagajni </w:t>
      </w:r>
      <w:r w:rsidRPr="004858CC">
        <w:rPr>
          <w:b/>
          <w:sz w:val="22"/>
          <w:szCs w:val="22"/>
        </w:rPr>
        <w:t>209.880,03 EUR</w:t>
      </w:r>
      <w:r w:rsidR="004858CC" w:rsidRPr="004858CC">
        <w:rPr>
          <w:b/>
          <w:sz w:val="22"/>
          <w:szCs w:val="22"/>
        </w:rPr>
        <w:t xml:space="preserve"> (31.12.2023.)</w:t>
      </w:r>
      <w:r w:rsidR="004858CC">
        <w:rPr>
          <w:sz w:val="22"/>
          <w:szCs w:val="22"/>
        </w:rPr>
        <w:t xml:space="preserve"> </w:t>
      </w:r>
    </w:p>
    <w:p w:rsidR="00620BFB" w:rsidRDefault="00D3058B" w:rsidP="004A26A2">
      <w:pPr>
        <w:jc w:val="both"/>
        <w:outlineLvl w:val="0"/>
        <w:rPr>
          <w:sz w:val="22"/>
          <w:szCs w:val="22"/>
        </w:rPr>
      </w:pPr>
      <w:r>
        <w:rPr>
          <w:sz w:val="22"/>
          <w:szCs w:val="22"/>
        </w:rPr>
        <w:t>1112 – Novac na računu tuzemnih poslovnih banaka – 209.868,99 EUR</w:t>
      </w:r>
    </w:p>
    <w:p w:rsidR="00D3058B" w:rsidRDefault="00D3058B" w:rsidP="004A26A2">
      <w:pPr>
        <w:jc w:val="both"/>
        <w:outlineLvl w:val="0"/>
        <w:rPr>
          <w:sz w:val="22"/>
          <w:szCs w:val="22"/>
        </w:rPr>
      </w:pPr>
      <w:r>
        <w:rPr>
          <w:sz w:val="22"/>
          <w:szCs w:val="22"/>
        </w:rPr>
        <w:t>113 – Novac u blagajni (gotovina) – 11,04 EUR</w:t>
      </w:r>
    </w:p>
    <w:p w:rsidR="00D3058B" w:rsidRDefault="00D3058B" w:rsidP="004A26A2">
      <w:pPr>
        <w:jc w:val="both"/>
        <w:outlineLvl w:val="0"/>
        <w:rPr>
          <w:sz w:val="22"/>
          <w:szCs w:val="22"/>
        </w:rPr>
      </w:pPr>
    </w:p>
    <w:p w:rsidR="00D3058B" w:rsidRDefault="00D3058B" w:rsidP="004A26A2">
      <w:pPr>
        <w:jc w:val="both"/>
        <w:outlineLvl w:val="0"/>
        <w:rPr>
          <w:sz w:val="22"/>
          <w:szCs w:val="22"/>
        </w:rPr>
      </w:pPr>
      <w:r>
        <w:rPr>
          <w:sz w:val="22"/>
          <w:szCs w:val="22"/>
        </w:rPr>
        <w:t xml:space="preserve">Potraživanja na dan 31.12.2023. iznose: </w:t>
      </w:r>
      <w:r w:rsidR="008F15BB" w:rsidRPr="004858CC">
        <w:rPr>
          <w:b/>
          <w:sz w:val="22"/>
          <w:szCs w:val="22"/>
        </w:rPr>
        <w:t>29.101,19 EUR</w:t>
      </w:r>
    </w:p>
    <w:p w:rsidR="00D3058B" w:rsidRDefault="00D3058B" w:rsidP="004A26A2">
      <w:pPr>
        <w:jc w:val="both"/>
        <w:outlineLvl w:val="0"/>
        <w:rPr>
          <w:sz w:val="22"/>
          <w:szCs w:val="22"/>
        </w:rPr>
      </w:pPr>
    </w:p>
    <w:p w:rsidR="00D3058B" w:rsidRPr="00A21F83" w:rsidRDefault="00D3058B" w:rsidP="00D3058B">
      <w:pPr>
        <w:pStyle w:val="Odlomakpopisa"/>
        <w:numPr>
          <w:ilvl w:val="0"/>
          <w:numId w:val="22"/>
        </w:numPr>
        <w:jc w:val="both"/>
        <w:outlineLvl w:val="0"/>
        <w:rPr>
          <w:i/>
          <w:sz w:val="22"/>
          <w:szCs w:val="22"/>
        </w:rPr>
      </w:pPr>
      <w:r>
        <w:rPr>
          <w:sz w:val="22"/>
          <w:szCs w:val="22"/>
        </w:rPr>
        <w:t>Potraživanja za više plaćeni porez i prirez na dohodak – 970,66 EUR</w:t>
      </w:r>
      <w:r w:rsidR="008F15BB">
        <w:rPr>
          <w:sz w:val="22"/>
          <w:szCs w:val="22"/>
        </w:rPr>
        <w:t xml:space="preserve"> </w:t>
      </w:r>
      <w:r w:rsidR="008F15BB" w:rsidRPr="00A21F83">
        <w:rPr>
          <w:i/>
          <w:sz w:val="22"/>
          <w:szCs w:val="22"/>
        </w:rPr>
        <w:t>(Leko, Belić, Škvorc)</w:t>
      </w:r>
    </w:p>
    <w:p w:rsidR="00D3058B" w:rsidRPr="00A21F83" w:rsidRDefault="00D3058B" w:rsidP="00D3058B">
      <w:pPr>
        <w:pStyle w:val="Odlomakpopisa"/>
        <w:numPr>
          <w:ilvl w:val="0"/>
          <w:numId w:val="22"/>
        </w:numPr>
        <w:jc w:val="both"/>
        <w:outlineLvl w:val="0"/>
        <w:rPr>
          <w:i/>
          <w:sz w:val="22"/>
          <w:szCs w:val="22"/>
        </w:rPr>
      </w:pPr>
      <w:r>
        <w:rPr>
          <w:sz w:val="22"/>
          <w:szCs w:val="22"/>
        </w:rPr>
        <w:t xml:space="preserve">Potraživanja za naknade koje se refundiraju: 28,25 EUR </w:t>
      </w:r>
      <w:r w:rsidRPr="00A21F83">
        <w:rPr>
          <w:i/>
          <w:sz w:val="22"/>
          <w:szCs w:val="22"/>
        </w:rPr>
        <w:t>(Deana Leko – bolovanje fond 12/23)</w:t>
      </w:r>
    </w:p>
    <w:p w:rsidR="00D3058B" w:rsidRPr="00A21F83" w:rsidRDefault="00D3058B" w:rsidP="00D3058B">
      <w:pPr>
        <w:pStyle w:val="Odlomakpopisa"/>
        <w:numPr>
          <w:ilvl w:val="0"/>
          <w:numId w:val="22"/>
        </w:numPr>
        <w:jc w:val="both"/>
        <w:outlineLvl w:val="0"/>
        <w:rPr>
          <w:i/>
          <w:sz w:val="22"/>
          <w:szCs w:val="22"/>
        </w:rPr>
      </w:pPr>
      <w:r>
        <w:rPr>
          <w:sz w:val="22"/>
          <w:szCs w:val="22"/>
        </w:rPr>
        <w:t>Hrvatske vode – NUV – 9.300,17 EUR</w:t>
      </w:r>
      <w:r w:rsidR="008F15BB">
        <w:rPr>
          <w:sz w:val="22"/>
          <w:szCs w:val="22"/>
        </w:rPr>
        <w:t xml:space="preserve"> </w:t>
      </w:r>
      <w:r w:rsidR="008F15BB" w:rsidRPr="00A21F83">
        <w:rPr>
          <w:i/>
          <w:sz w:val="22"/>
          <w:szCs w:val="22"/>
        </w:rPr>
        <w:t>(pravne i fizičke osobe)</w:t>
      </w:r>
    </w:p>
    <w:p w:rsidR="00D3058B" w:rsidRPr="00A21F83" w:rsidRDefault="00D3058B" w:rsidP="00D3058B">
      <w:pPr>
        <w:pStyle w:val="Odlomakpopisa"/>
        <w:numPr>
          <w:ilvl w:val="0"/>
          <w:numId w:val="22"/>
        </w:numPr>
        <w:jc w:val="both"/>
        <w:outlineLvl w:val="0"/>
        <w:rPr>
          <w:i/>
          <w:sz w:val="22"/>
          <w:szCs w:val="22"/>
        </w:rPr>
      </w:pPr>
      <w:r>
        <w:rPr>
          <w:sz w:val="22"/>
          <w:szCs w:val="22"/>
        </w:rPr>
        <w:t>Stalni porezi na nepokretnu imovinu – 33,16 EUR</w:t>
      </w:r>
      <w:r w:rsidR="008F15BB">
        <w:rPr>
          <w:sz w:val="22"/>
          <w:szCs w:val="22"/>
        </w:rPr>
        <w:t xml:space="preserve"> </w:t>
      </w:r>
      <w:r w:rsidR="008F15BB" w:rsidRPr="00A21F83">
        <w:rPr>
          <w:i/>
          <w:sz w:val="22"/>
          <w:szCs w:val="22"/>
        </w:rPr>
        <w:t>(Tekstil promet Kovač 19,92 EUR + Luna Adrija 13,27 EUR – 0,03 pretplata Pokretna trgovina Elena)</w:t>
      </w:r>
    </w:p>
    <w:p w:rsidR="00D3058B" w:rsidRDefault="00D3058B" w:rsidP="00D3058B">
      <w:pPr>
        <w:pStyle w:val="Odlomakpopisa"/>
        <w:numPr>
          <w:ilvl w:val="0"/>
          <w:numId w:val="22"/>
        </w:numPr>
        <w:jc w:val="both"/>
        <w:outlineLvl w:val="0"/>
        <w:rPr>
          <w:sz w:val="22"/>
          <w:szCs w:val="22"/>
        </w:rPr>
      </w:pPr>
      <w:r>
        <w:rPr>
          <w:sz w:val="22"/>
          <w:szCs w:val="22"/>
        </w:rPr>
        <w:t>Povremeni porezi na imovinu – 2.195,62 EUR</w:t>
      </w:r>
    </w:p>
    <w:p w:rsidR="00D3058B" w:rsidRDefault="00D3058B" w:rsidP="00D3058B">
      <w:pPr>
        <w:pStyle w:val="Odlomakpopisa"/>
        <w:numPr>
          <w:ilvl w:val="0"/>
          <w:numId w:val="22"/>
        </w:numPr>
        <w:jc w:val="both"/>
        <w:outlineLvl w:val="0"/>
        <w:rPr>
          <w:sz w:val="22"/>
          <w:szCs w:val="22"/>
        </w:rPr>
      </w:pPr>
      <w:r>
        <w:rPr>
          <w:sz w:val="22"/>
          <w:szCs w:val="22"/>
        </w:rPr>
        <w:t>Porez na promet</w:t>
      </w:r>
      <w:r w:rsidR="008F15BB">
        <w:rPr>
          <w:sz w:val="22"/>
          <w:szCs w:val="22"/>
        </w:rPr>
        <w:t xml:space="preserve"> – 244,68 EUR</w:t>
      </w:r>
    </w:p>
    <w:p w:rsidR="00D3058B" w:rsidRDefault="00D3058B" w:rsidP="00D3058B">
      <w:pPr>
        <w:pStyle w:val="Odlomakpopisa"/>
        <w:numPr>
          <w:ilvl w:val="0"/>
          <w:numId w:val="22"/>
        </w:numPr>
        <w:jc w:val="both"/>
        <w:outlineLvl w:val="0"/>
        <w:rPr>
          <w:sz w:val="22"/>
          <w:szCs w:val="22"/>
        </w:rPr>
      </w:pPr>
      <w:r>
        <w:rPr>
          <w:sz w:val="22"/>
          <w:szCs w:val="22"/>
        </w:rPr>
        <w:t>Porezi na korištenje dobara ili izvođenje aktivnosti – 289,13 EUR</w:t>
      </w:r>
    </w:p>
    <w:p w:rsidR="00D3058B" w:rsidRDefault="00D3058B" w:rsidP="00D3058B">
      <w:pPr>
        <w:pStyle w:val="Odlomakpopisa"/>
        <w:numPr>
          <w:ilvl w:val="0"/>
          <w:numId w:val="22"/>
        </w:numPr>
        <w:jc w:val="both"/>
        <w:outlineLvl w:val="0"/>
        <w:rPr>
          <w:sz w:val="22"/>
          <w:szCs w:val="22"/>
        </w:rPr>
      </w:pPr>
      <w:r>
        <w:rPr>
          <w:sz w:val="22"/>
          <w:szCs w:val="22"/>
        </w:rPr>
        <w:t>Potraživanja za zakup poljoprivrednog zemljišta – 1.133,52 EUR</w:t>
      </w:r>
      <w:r w:rsidR="008F15BB">
        <w:rPr>
          <w:sz w:val="22"/>
          <w:szCs w:val="22"/>
        </w:rPr>
        <w:t xml:space="preserve"> </w:t>
      </w:r>
      <w:r w:rsidR="008F15BB" w:rsidRPr="00A21F83">
        <w:rPr>
          <w:i/>
          <w:sz w:val="22"/>
          <w:szCs w:val="22"/>
        </w:rPr>
        <w:t>(Agra d.o.o. – za 2024.)</w:t>
      </w:r>
    </w:p>
    <w:p w:rsidR="00D3058B" w:rsidRPr="00A21F83" w:rsidRDefault="00D3058B" w:rsidP="00D3058B">
      <w:pPr>
        <w:pStyle w:val="Odlomakpopisa"/>
        <w:numPr>
          <w:ilvl w:val="0"/>
          <w:numId w:val="22"/>
        </w:numPr>
        <w:jc w:val="both"/>
        <w:outlineLvl w:val="0"/>
        <w:rPr>
          <w:i/>
          <w:sz w:val="22"/>
          <w:szCs w:val="22"/>
        </w:rPr>
      </w:pPr>
      <w:r>
        <w:rPr>
          <w:sz w:val="22"/>
          <w:szCs w:val="22"/>
        </w:rPr>
        <w:t>Prihodi od zakupa nekretnina – 537,21 EUR</w:t>
      </w:r>
      <w:r w:rsidR="008F15BB">
        <w:rPr>
          <w:sz w:val="22"/>
          <w:szCs w:val="22"/>
        </w:rPr>
        <w:t xml:space="preserve"> </w:t>
      </w:r>
      <w:r w:rsidR="008F15BB" w:rsidRPr="00A21F83">
        <w:rPr>
          <w:i/>
          <w:sz w:val="22"/>
          <w:szCs w:val="22"/>
        </w:rPr>
        <w:t>(Dječji vrtić Srčeko 157,70 EUR, HP Hrvatska pošta 45,39 EUR, Leško Nevenka 83,43 EUR, MIHA1 jd.o.o. 26,54 EUR, Dentalna Maja Golik 63,02 EUR, Ordinacija Dr. Ivica Dukić 80,49 EUR, Roko Major 39,82 EUR, Josipa Drk 39,82 EUR)</w:t>
      </w:r>
    </w:p>
    <w:p w:rsidR="00D3058B" w:rsidRPr="00A21F83" w:rsidRDefault="00D3058B" w:rsidP="00D3058B">
      <w:pPr>
        <w:pStyle w:val="Odlomakpopisa"/>
        <w:numPr>
          <w:ilvl w:val="0"/>
          <w:numId w:val="22"/>
        </w:numPr>
        <w:jc w:val="both"/>
        <w:outlineLvl w:val="0"/>
        <w:rPr>
          <w:i/>
          <w:sz w:val="22"/>
          <w:szCs w:val="22"/>
        </w:rPr>
      </w:pPr>
      <w:r>
        <w:rPr>
          <w:sz w:val="22"/>
          <w:szCs w:val="22"/>
        </w:rPr>
        <w:t>Pogrebne usluge (mrtvačnica i klesari) – 113,53 EUR</w:t>
      </w:r>
      <w:r w:rsidR="008F15BB">
        <w:rPr>
          <w:sz w:val="22"/>
          <w:szCs w:val="22"/>
        </w:rPr>
        <w:t xml:space="preserve"> </w:t>
      </w:r>
      <w:r w:rsidR="008F15BB" w:rsidRPr="00A21F83">
        <w:rPr>
          <w:i/>
          <w:sz w:val="22"/>
          <w:szCs w:val="22"/>
        </w:rPr>
        <w:t>(BT Company 53,09, KAMNOSEŠTVO L&amp;L JAKLOVIĆ 53,09 EUR, Klesarstvo Baranašić -5,92 EUR, Turk Vladimir 13,27 EUR)</w:t>
      </w:r>
    </w:p>
    <w:p w:rsidR="00D3058B" w:rsidRPr="00A21F83" w:rsidRDefault="00D3058B" w:rsidP="00D3058B">
      <w:pPr>
        <w:pStyle w:val="Odlomakpopisa"/>
        <w:numPr>
          <w:ilvl w:val="0"/>
          <w:numId w:val="22"/>
        </w:numPr>
        <w:jc w:val="both"/>
        <w:outlineLvl w:val="0"/>
        <w:rPr>
          <w:i/>
          <w:sz w:val="22"/>
          <w:szCs w:val="22"/>
        </w:rPr>
      </w:pPr>
      <w:r>
        <w:rPr>
          <w:sz w:val="22"/>
          <w:szCs w:val="22"/>
        </w:rPr>
        <w:t>Naknada od prodaje grobnih mjesta – 73,00 EUR</w:t>
      </w:r>
      <w:r w:rsidR="008F15BB">
        <w:rPr>
          <w:sz w:val="22"/>
          <w:szCs w:val="22"/>
        </w:rPr>
        <w:t xml:space="preserve"> </w:t>
      </w:r>
      <w:r w:rsidR="008F15BB" w:rsidRPr="00A21F83">
        <w:rPr>
          <w:i/>
          <w:sz w:val="22"/>
          <w:szCs w:val="22"/>
        </w:rPr>
        <w:t>(Novak Zlatko)</w:t>
      </w:r>
    </w:p>
    <w:p w:rsidR="00D3058B" w:rsidRDefault="00D3058B" w:rsidP="00D3058B">
      <w:pPr>
        <w:pStyle w:val="Odlomakpopisa"/>
        <w:numPr>
          <w:ilvl w:val="0"/>
          <w:numId w:val="22"/>
        </w:numPr>
        <w:jc w:val="both"/>
        <w:outlineLvl w:val="0"/>
        <w:rPr>
          <w:sz w:val="22"/>
          <w:szCs w:val="22"/>
        </w:rPr>
      </w:pPr>
      <w:r>
        <w:rPr>
          <w:sz w:val="22"/>
          <w:szCs w:val="22"/>
        </w:rPr>
        <w:t>Naknada za korištenje grobnih mjesta  - 3.227,56 EUR</w:t>
      </w:r>
    </w:p>
    <w:p w:rsidR="00D3058B" w:rsidRDefault="00D3058B" w:rsidP="00D3058B">
      <w:pPr>
        <w:pStyle w:val="Odlomakpopisa"/>
        <w:numPr>
          <w:ilvl w:val="0"/>
          <w:numId w:val="22"/>
        </w:numPr>
        <w:jc w:val="both"/>
        <w:outlineLvl w:val="0"/>
        <w:rPr>
          <w:sz w:val="22"/>
          <w:szCs w:val="22"/>
        </w:rPr>
      </w:pPr>
      <w:r>
        <w:rPr>
          <w:sz w:val="22"/>
          <w:szCs w:val="22"/>
        </w:rPr>
        <w:t>Komunalni doprinos –</w:t>
      </w:r>
      <w:r w:rsidR="008F15BB">
        <w:rPr>
          <w:sz w:val="22"/>
          <w:szCs w:val="22"/>
        </w:rPr>
        <w:t xml:space="preserve"> 59,29 EUR</w:t>
      </w:r>
    </w:p>
    <w:p w:rsidR="00D3058B" w:rsidRDefault="00D3058B" w:rsidP="00D3058B">
      <w:pPr>
        <w:pStyle w:val="Odlomakpopisa"/>
        <w:numPr>
          <w:ilvl w:val="0"/>
          <w:numId w:val="22"/>
        </w:numPr>
        <w:jc w:val="both"/>
        <w:outlineLvl w:val="0"/>
        <w:rPr>
          <w:sz w:val="22"/>
          <w:szCs w:val="22"/>
        </w:rPr>
      </w:pPr>
      <w:r>
        <w:rPr>
          <w:sz w:val="22"/>
          <w:szCs w:val="22"/>
        </w:rPr>
        <w:t>Komunalna naknada pravne osobe – 1.759,54 EUR</w:t>
      </w:r>
    </w:p>
    <w:p w:rsidR="00D3058B" w:rsidRDefault="00D3058B" w:rsidP="00D3058B">
      <w:pPr>
        <w:pStyle w:val="Odlomakpopisa"/>
        <w:numPr>
          <w:ilvl w:val="0"/>
          <w:numId w:val="22"/>
        </w:numPr>
        <w:jc w:val="both"/>
        <w:outlineLvl w:val="0"/>
        <w:rPr>
          <w:sz w:val="22"/>
          <w:szCs w:val="22"/>
        </w:rPr>
      </w:pPr>
      <w:r>
        <w:rPr>
          <w:sz w:val="22"/>
          <w:szCs w:val="22"/>
        </w:rPr>
        <w:t>Komunalna naknada fizičke osobe- 6.545,81 EUR</w:t>
      </w:r>
    </w:p>
    <w:p w:rsidR="00D3058B" w:rsidRPr="00A21F83" w:rsidRDefault="00D3058B" w:rsidP="00D3058B">
      <w:pPr>
        <w:pStyle w:val="Odlomakpopisa"/>
        <w:numPr>
          <w:ilvl w:val="0"/>
          <w:numId w:val="22"/>
        </w:numPr>
        <w:jc w:val="both"/>
        <w:outlineLvl w:val="0"/>
        <w:rPr>
          <w:i/>
          <w:sz w:val="22"/>
          <w:szCs w:val="22"/>
        </w:rPr>
      </w:pPr>
      <w:r>
        <w:rPr>
          <w:sz w:val="22"/>
          <w:szCs w:val="22"/>
        </w:rPr>
        <w:t>Potraživanja za prihode od pruženih usluga – 652,35 EUR</w:t>
      </w:r>
      <w:r w:rsidR="008F15BB">
        <w:rPr>
          <w:sz w:val="22"/>
          <w:szCs w:val="22"/>
        </w:rPr>
        <w:t xml:space="preserve"> </w:t>
      </w:r>
      <w:r w:rsidR="008F15BB" w:rsidRPr="00A21F83">
        <w:rPr>
          <w:i/>
          <w:sz w:val="22"/>
          <w:szCs w:val="22"/>
        </w:rPr>
        <w:t>(Dj. Srčeko 291,64 EUR, HP Hrvatska pošta 9,31 EUR</w:t>
      </w:r>
      <w:r w:rsidR="00A21F83" w:rsidRPr="00A21F83">
        <w:rPr>
          <w:i/>
          <w:sz w:val="22"/>
          <w:szCs w:val="22"/>
        </w:rPr>
        <w:t>, Leško Nevenka 42,58 EUR, Ordinacija Maja Golik 141,63 EUR, Ordinacija Dr. Ivica Dukić 167,19 EUR)</w:t>
      </w:r>
    </w:p>
    <w:p w:rsidR="00D3058B" w:rsidRDefault="00D3058B" w:rsidP="00D3058B">
      <w:pPr>
        <w:pStyle w:val="Odlomakpopisa"/>
        <w:numPr>
          <w:ilvl w:val="0"/>
          <w:numId w:val="22"/>
        </w:numPr>
        <w:jc w:val="both"/>
        <w:outlineLvl w:val="0"/>
        <w:rPr>
          <w:sz w:val="22"/>
          <w:szCs w:val="22"/>
        </w:rPr>
      </w:pPr>
      <w:r>
        <w:rPr>
          <w:sz w:val="22"/>
          <w:szCs w:val="22"/>
        </w:rPr>
        <w:t>Ostale kazne 1.937,71 EUR</w:t>
      </w:r>
      <w:r w:rsidR="00A21F83">
        <w:rPr>
          <w:sz w:val="22"/>
          <w:szCs w:val="22"/>
        </w:rPr>
        <w:t xml:space="preserve"> – početno stanje 1.1.2023. 437,97 EUR + 1.552,81 EUR (7 kažnjenih fizičkih osoba)</w:t>
      </w:r>
    </w:p>
    <w:p w:rsidR="008F15BB" w:rsidRDefault="008F15BB" w:rsidP="008F15BB">
      <w:pPr>
        <w:jc w:val="both"/>
        <w:outlineLvl w:val="0"/>
        <w:rPr>
          <w:sz w:val="22"/>
          <w:szCs w:val="22"/>
        </w:rPr>
      </w:pPr>
    </w:p>
    <w:p w:rsidR="008F15BB" w:rsidRDefault="008F15BB" w:rsidP="008F15BB">
      <w:pPr>
        <w:jc w:val="both"/>
        <w:outlineLvl w:val="0"/>
        <w:rPr>
          <w:sz w:val="22"/>
          <w:szCs w:val="22"/>
        </w:rPr>
      </w:pPr>
      <w:r>
        <w:rPr>
          <w:sz w:val="22"/>
          <w:szCs w:val="22"/>
        </w:rPr>
        <w:t xml:space="preserve">Koncesija za dimnjačara godišnje iznosi 663,60 EUR i u cijelosti je plaćena. </w:t>
      </w:r>
    </w:p>
    <w:p w:rsidR="00A21F83" w:rsidRDefault="00A21F83" w:rsidP="008F15BB">
      <w:pPr>
        <w:jc w:val="both"/>
        <w:outlineLvl w:val="0"/>
        <w:rPr>
          <w:sz w:val="22"/>
          <w:szCs w:val="22"/>
        </w:rPr>
      </w:pPr>
    </w:p>
    <w:p w:rsidR="00A21F83" w:rsidRDefault="00A21F83" w:rsidP="008F15BB">
      <w:pPr>
        <w:jc w:val="both"/>
        <w:outlineLvl w:val="0"/>
        <w:rPr>
          <w:sz w:val="22"/>
          <w:szCs w:val="22"/>
        </w:rPr>
      </w:pPr>
      <w:r>
        <w:rPr>
          <w:sz w:val="22"/>
          <w:szCs w:val="22"/>
        </w:rPr>
        <w:t>Poslovni udjeli: 1.197.828,67 EUR – udjeli u pripremi Međimurske vode 131.123,94 EUR + 1.066.704,73 dionice i udjeli u glavnici trgovačkih društava</w:t>
      </w:r>
    </w:p>
    <w:p w:rsidR="00A21F83" w:rsidRDefault="00A21F83" w:rsidP="00A21F83">
      <w:pPr>
        <w:pStyle w:val="Odlomakpopisa"/>
        <w:numPr>
          <w:ilvl w:val="0"/>
          <w:numId w:val="23"/>
        </w:numPr>
        <w:jc w:val="both"/>
        <w:outlineLvl w:val="0"/>
        <w:rPr>
          <w:sz w:val="22"/>
          <w:szCs w:val="22"/>
        </w:rPr>
      </w:pPr>
      <w:r>
        <w:rPr>
          <w:sz w:val="22"/>
          <w:szCs w:val="22"/>
        </w:rPr>
        <w:t>MURS EKOM d.o.o. – 7.259,94 EUR</w:t>
      </w:r>
    </w:p>
    <w:p w:rsidR="00A21F83" w:rsidRDefault="00A21F83" w:rsidP="00A21F83">
      <w:pPr>
        <w:pStyle w:val="Odlomakpopisa"/>
        <w:numPr>
          <w:ilvl w:val="0"/>
          <w:numId w:val="23"/>
        </w:numPr>
        <w:jc w:val="both"/>
        <w:outlineLvl w:val="0"/>
        <w:rPr>
          <w:sz w:val="22"/>
          <w:szCs w:val="22"/>
        </w:rPr>
      </w:pPr>
      <w:r>
        <w:rPr>
          <w:sz w:val="22"/>
          <w:szCs w:val="22"/>
        </w:rPr>
        <w:t>MEĐIMURSKE VODE d.o.o. – 649.664,87 EUR</w:t>
      </w:r>
    </w:p>
    <w:p w:rsidR="00A21F83" w:rsidRDefault="00A21F83" w:rsidP="00A21F83">
      <w:pPr>
        <w:pStyle w:val="Odlomakpopisa"/>
        <w:numPr>
          <w:ilvl w:val="0"/>
          <w:numId w:val="23"/>
        </w:numPr>
        <w:jc w:val="both"/>
        <w:outlineLvl w:val="0"/>
        <w:rPr>
          <w:sz w:val="22"/>
          <w:szCs w:val="22"/>
        </w:rPr>
      </w:pPr>
      <w:r>
        <w:rPr>
          <w:sz w:val="22"/>
          <w:szCs w:val="22"/>
        </w:rPr>
        <w:t>MEĐIMURJE PLIN D.o.o. – 408.786,25 EUR</w:t>
      </w:r>
    </w:p>
    <w:p w:rsidR="00A21F83" w:rsidRDefault="00A21F83" w:rsidP="00A21F83">
      <w:pPr>
        <w:pStyle w:val="Odlomakpopisa"/>
        <w:numPr>
          <w:ilvl w:val="0"/>
          <w:numId w:val="23"/>
        </w:numPr>
        <w:jc w:val="both"/>
        <w:outlineLvl w:val="0"/>
        <w:rPr>
          <w:sz w:val="22"/>
          <w:szCs w:val="22"/>
        </w:rPr>
      </w:pPr>
      <w:r>
        <w:rPr>
          <w:sz w:val="22"/>
          <w:szCs w:val="22"/>
        </w:rPr>
        <w:t>HRVATSKI RADIO ČAKOVEC – 993,67 EUR</w:t>
      </w:r>
    </w:p>
    <w:p w:rsidR="00A21F83" w:rsidRDefault="00A21F83" w:rsidP="00A21F83">
      <w:pPr>
        <w:jc w:val="both"/>
        <w:outlineLvl w:val="0"/>
        <w:rPr>
          <w:sz w:val="22"/>
          <w:szCs w:val="22"/>
        </w:rPr>
      </w:pPr>
    </w:p>
    <w:p w:rsidR="00A21F83" w:rsidRDefault="00A21F83" w:rsidP="00A21F83">
      <w:pPr>
        <w:jc w:val="both"/>
        <w:outlineLvl w:val="0"/>
        <w:rPr>
          <w:b/>
          <w:sz w:val="22"/>
          <w:szCs w:val="22"/>
        </w:rPr>
      </w:pPr>
      <w:r w:rsidRPr="00A21F83">
        <w:rPr>
          <w:sz w:val="22"/>
          <w:szCs w:val="22"/>
        </w:rPr>
        <w:t xml:space="preserve">Stanje obveza je pojašnjeno u točki </w:t>
      </w:r>
      <w:r>
        <w:rPr>
          <w:sz w:val="22"/>
          <w:szCs w:val="22"/>
        </w:rPr>
        <w:t xml:space="preserve">1. </w:t>
      </w:r>
      <w:r w:rsidRPr="00A21F83">
        <w:rPr>
          <w:sz w:val="22"/>
          <w:szCs w:val="22"/>
        </w:rPr>
        <w:t>Bilješke uz obrazac OBVEZE.</w:t>
      </w:r>
    </w:p>
    <w:p w:rsidR="00A21F83" w:rsidRDefault="00A21F83" w:rsidP="00A21F83">
      <w:pPr>
        <w:jc w:val="both"/>
        <w:outlineLvl w:val="0"/>
        <w:rPr>
          <w:b/>
          <w:sz w:val="22"/>
          <w:szCs w:val="22"/>
        </w:rPr>
      </w:pPr>
    </w:p>
    <w:p w:rsidR="00A21F83" w:rsidRDefault="00A21F83" w:rsidP="00A21F83">
      <w:pPr>
        <w:jc w:val="both"/>
        <w:outlineLvl w:val="0"/>
        <w:rPr>
          <w:b/>
          <w:sz w:val="22"/>
          <w:szCs w:val="22"/>
        </w:rPr>
      </w:pPr>
      <w:r w:rsidRPr="00A21F83">
        <w:rPr>
          <w:sz w:val="22"/>
          <w:szCs w:val="22"/>
        </w:rPr>
        <w:t xml:space="preserve">Vlastiti izvori (9) iznose </w:t>
      </w:r>
      <w:r w:rsidRPr="004858CC">
        <w:rPr>
          <w:b/>
          <w:sz w:val="22"/>
          <w:szCs w:val="22"/>
        </w:rPr>
        <w:t>3.820.174,68 EUR</w:t>
      </w:r>
    </w:p>
    <w:p w:rsidR="003D575E" w:rsidRPr="003D575E" w:rsidRDefault="003D575E" w:rsidP="00A21F83">
      <w:pPr>
        <w:jc w:val="both"/>
        <w:outlineLvl w:val="0"/>
        <w:rPr>
          <w:sz w:val="22"/>
          <w:szCs w:val="22"/>
        </w:rPr>
      </w:pPr>
      <w:r w:rsidRPr="003D575E">
        <w:rPr>
          <w:sz w:val="22"/>
          <w:szCs w:val="22"/>
        </w:rPr>
        <w:t xml:space="preserve">Izvanbilačni zapisi – 199.084,21 EUR </w:t>
      </w:r>
      <w:r>
        <w:rPr>
          <w:sz w:val="22"/>
          <w:szCs w:val="22"/>
        </w:rPr>
        <w:t xml:space="preserve">(aktiva i pasiva) </w:t>
      </w:r>
      <w:r w:rsidRPr="003D575E">
        <w:rPr>
          <w:sz w:val="22"/>
          <w:szCs w:val="22"/>
        </w:rPr>
        <w:t>– višenamjenska autocisterna od Ravnateljstva</w:t>
      </w:r>
      <w:r>
        <w:rPr>
          <w:sz w:val="22"/>
          <w:szCs w:val="22"/>
        </w:rPr>
        <w:t xml:space="preserve"> (991 i 996)</w:t>
      </w:r>
    </w:p>
    <w:p w:rsidR="00A21F83" w:rsidRDefault="00A21F83" w:rsidP="00A21F83">
      <w:pPr>
        <w:jc w:val="both"/>
        <w:outlineLvl w:val="0"/>
        <w:rPr>
          <w:sz w:val="22"/>
          <w:szCs w:val="22"/>
        </w:rPr>
      </w:pPr>
    </w:p>
    <w:p w:rsidR="00A21F83" w:rsidRDefault="00A21F83" w:rsidP="00A21F83">
      <w:pPr>
        <w:jc w:val="both"/>
        <w:outlineLvl w:val="0"/>
        <w:rPr>
          <w:sz w:val="22"/>
          <w:szCs w:val="22"/>
        </w:rPr>
      </w:pPr>
      <w:r>
        <w:rPr>
          <w:sz w:val="22"/>
          <w:szCs w:val="22"/>
        </w:rPr>
        <w:t>Izradila:</w:t>
      </w:r>
    </w:p>
    <w:p w:rsidR="00A21F83" w:rsidRDefault="00A21F83" w:rsidP="00A21F83">
      <w:pPr>
        <w:jc w:val="both"/>
        <w:outlineLvl w:val="0"/>
        <w:rPr>
          <w:sz w:val="22"/>
          <w:szCs w:val="22"/>
        </w:rPr>
      </w:pPr>
      <w:r>
        <w:rPr>
          <w:sz w:val="22"/>
          <w:szCs w:val="22"/>
        </w:rPr>
        <w:t>Magdalena Šoltić</w:t>
      </w:r>
    </w:p>
    <w:p w:rsidR="00A21F83" w:rsidRDefault="00A21F83" w:rsidP="00A21F83">
      <w:pPr>
        <w:jc w:val="both"/>
        <w:outlineLvl w:val="0"/>
        <w:rPr>
          <w:sz w:val="22"/>
          <w:szCs w:val="22"/>
        </w:rPr>
      </w:pPr>
    </w:p>
    <w:p w:rsidR="00A21F83" w:rsidRDefault="00A21F83" w:rsidP="00A21F83">
      <w:pPr>
        <w:jc w:val="right"/>
        <w:outlineLvl w:val="0"/>
        <w:rPr>
          <w:sz w:val="22"/>
          <w:szCs w:val="22"/>
        </w:rPr>
      </w:pPr>
      <w:r>
        <w:rPr>
          <w:sz w:val="22"/>
          <w:szCs w:val="22"/>
        </w:rPr>
        <w:t>Odgovorna osoba:</w:t>
      </w:r>
    </w:p>
    <w:p w:rsidR="00A21F83" w:rsidRPr="00A21F83" w:rsidRDefault="00A21F83" w:rsidP="00A21F83">
      <w:pPr>
        <w:jc w:val="right"/>
        <w:outlineLvl w:val="0"/>
        <w:rPr>
          <w:sz w:val="22"/>
          <w:szCs w:val="22"/>
        </w:rPr>
      </w:pPr>
      <w:r>
        <w:rPr>
          <w:sz w:val="22"/>
          <w:szCs w:val="22"/>
        </w:rPr>
        <w:t>Načelnik Mihael Grbavec</w:t>
      </w:r>
    </w:p>
    <w:p w:rsidR="00A21F83" w:rsidRPr="00A21F83" w:rsidRDefault="00A21F83" w:rsidP="00A21F83">
      <w:pPr>
        <w:jc w:val="both"/>
        <w:outlineLvl w:val="0"/>
        <w:rPr>
          <w:sz w:val="22"/>
          <w:szCs w:val="22"/>
        </w:rPr>
      </w:pPr>
      <w:bookmarkStart w:id="0" w:name="_GoBack"/>
      <w:bookmarkEnd w:id="0"/>
    </w:p>
    <w:sectPr w:rsidR="00A21F83" w:rsidRPr="00A21F8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8B8" w:rsidRDefault="005C08B8" w:rsidP="00AE43F8">
      <w:r>
        <w:separator/>
      </w:r>
    </w:p>
  </w:endnote>
  <w:endnote w:type="continuationSeparator" w:id="0">
    <w:p w:rsidR="005C08B8" w:rsidRDefault="005C08B8" w:rsidP="00AE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F83" w:rsidRDefault="00A21F83">
    <w:pPr>
      <w:pStyle w:val="Podnoje"/>
    </w:pPr>
    <w:r>
      <w:rPr>
        <w:noProof/>
      </w:rPr>
      <mc:AlternateContent>
        <mc:Choice Requires="wps">
          <w:drawing>
            <wp:anchor distT="0" distB="0" distL="114300" distR="114300" simplePos="0" relativeHeight="251657728" behindDoc="0" locked="0" layoutInCell="1" allowOverlap="1">
              <wp:simplePos x="0" y="0"/>
              <wp:positionH relativeFrom="page">
                <wp:posOffset>6827520</wp:posOffset>
              </wp:positionH>
              <wp:positionV relativeFrom="page">
                <wp:posOffset>10146030</wp:posOffset>
              </wp:positionV>
              <wp:extent cx="565785" cy="191770"/>
              <wp:effectExtent l="0" t="190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A21F83" w:rsidRPr="00AE43F8" w:rsidRDefault="00A21F83" w:rsidP="00AE43F8">
                          <w:pPr>
                            <w:pBdr>
                              <w:top w:val="single" w:sz="4" w:space="1" w:color="7F7F7F"/>
                            </w:pBdr>
                            <w:jc w:val="center"/>
                            <w:rPr>
                              <w:color w:val="ED7D31"/>
                            </w:rPr>
                          </w:pPr>
                          <w:r w:rsidRPr="00AE43F8">
                            <w:fldChar w:fldCharType="begin"/>
                          </w:r>
                          <w:r>
                            <w:instrText>PAGE   \* MERGEFORMAT</w:instrText>
                          </w:r>
                          <w:r w:rsidRPr="00AE43F8">
                            <w:fldChar w:fldCharType="separate"/>
                          </w:r>
                          <w:r w:rsidR="003D575E" w:rsidRPr="003D575E">
                            <w:rPr>
                              <w:noProof/>
                              <w:color w:val="ED7D31"/>
                            </w:rPr>
                            <w:t>9</w:t>
                          </w:r>
                          <w:r w:rsidRPr="00AE43F8">
                            <w:rPr>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6" style="position:absolute;margin-left:537.6pt;margin-top:798.9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" filled="f" fillcolor="#c0504d" stroked="f" strokecolor="#5c83b4" strokeweight="2.25pt">
              <v:textbox inset=",0,,0">
                <w:txbxContent>
                  <w:p w:rsidR="00A21F83" w:rsidRPr="00AE43F8" w:rsidRDefault="00A21F83" w:rsidP="00AE43F8">
                    <w:pPr>
                      <w:pBdr>
                        <w:top w:val="single" w:sz="4" w:space="1" w:color="7F7F7F"/>
                      </w:pBdr>
                      <w:jc w:val="center"/>
                      <w:rPr>
                        <w:color w:val="ED7D31"/>
                      </w:rPr>
                    </w:pPr>
                    <w:r w:rsidRPr="00AE43F8">
                      <w:fldChar w:fldCharType="begin"/>
                    </w:r>
                    <w:r>
                      <w:instrText>PAGE   \* MERGEFORMAT</w:instrText>
                    </w:r>
                    <w:r w:rsidRPr="00AE43F8">
                      <w:fldChar w:fldCharType="separate"/>
                    </w:r>
                    <w:r w:rsidR="003D575E" w:rsidRPr="003D575E">
                      <w:rPr>
                        <w:noProof/>
                        <w:color w:val="ED7D31"/>
                      </w:rPr>
                      <w:t>9</w:t>
                    </w:r>
                    <w:r w:rsidRPr="00AE43F8">
                      <w:rPr>
                        <w:color w:val="ED7D31"/>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8B8" w:rsidRDefault="005C08B8" w:rsidP="00AE43F8">
      <w:r>
        <w:separator/>
      </w:r>
    </w:p>
  </w:footnote>
  <w:footnote w:type="continuationSeparator" w:id="0">
    <w:p w:rsidR="005C08B8" w:rsidRDefault="005C08B8" w:rsidP="00AE4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10B70"/>
    <w:multiLevelType w:val="hybridMultilevel"/>
    <w:tmpl w:val="EF66DD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2F5095"/>
    <w:multiLevelType w:val="hybridMultilevel"/>
    <w:tmpl w:val="71207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F0E21"/>
    <w:multiLevelType w:val="hybridMultilevel"/>
    <w:tmpl w:val="599AEB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6274F"/>
    <w:multiLevelType w:val="hybridMultilevel"/>
    <w:tmpl w:val="88F49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6621D"/>
    <w:multiLevelType w:val="hybridMultilevel"/>
    <w:tmpl w:val="A86013EC"/>
    <w:lvl w:ilvl="0" w:tplc="4B0EA8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630C4"/>
    <w:multiLevelType w:val="hybridMultilevel"/>
    <w:tmpl w:val="2642F434"/>
    <w:lvl w:ilvl="0" w:tplc="7E54E9E8">
      <w:start w:val="18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4A2DFC"/>
    <w:multiLevelType w:val="hybridMultilevel"/>
    <w:tmpl w:val="03CAA4B0"/>
    <w:lvl w:ilvl="0" w:tplc="D346D60C">
      <w:start w:val="1"/>
      <w:numFmt w:val="lowerLetter"/>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7" w15:restartNumberingAfterBreak="0">
    <w:nsid w:val="26746840"/>
    <w:multiLevelType w:val="hybridMultilevel"/>
    <w:tmpl w:val="248A3AE2"/>
    <w:lvl w:ilvl="0" w:tplc="B0A2C174">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2C67390F"/>
    <w:multiLevelType w:val="hybridMultilevel"/>
    <w:tmpl w:val="886891EE"/>
    <w:lvl w:ilvl="0" w:tplc="96EA3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55552"/>
    <w:multiLevelType w:val="hybridMultilevel"/>
    <w:tmpl w:val="7208228A"/>
    <w:lvl w:ilvl="0" w:tplc="FE64E87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427F4B2D"/>
    <w:multiLevelType w:val="hybridMultilevel"/>
    <w:tmpl w:val="0B16B792"/>
    <w:lvl w:ilvl="0" w:tplc="EC82B464">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8F6F20"/>
    <w:multiLevelType w:val="hybridMultilevel"/>
    <w:tmpl w:val="E548AD1E"/>
    <w:lvl w:ilvl="0" w:tplc="ADB44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9B52AB"/>
    <w:multiLevelType w:val="hybridMultilevel"/>
    <w:tmpl w:val="E8EE9C2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6CC1B46"/>
    <w:multiLevelType w:val="hybridMultilevel"/>
    <w:tmpl w:val="E410D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BA782F"/>
    <w:multiLevelType w:val="hybridMultilevel"/>
    <w:tmpl w:val="FDE0231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9E57B62"/>
    <w:multiLevelType w:val="hybridMultilevel"/>
    <w:tmpl w:val="7E7CF5E4"/>
    <w:lvl w:ilvl="0" w:tplc="04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40A7E"/>
    <w:multiLevelType w:val="hybridMultilevel"/>
    <w:tmpl w:val="A4361B5C"/>
    <w:lvl w:ilvl="0" w:tplc="C05295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35522"/>
    <w:multiLevelType w:val="hybridMultilevel"/>
    <w:tmpl w:val="C3C86CAA"/>
    <w:lvl w:ilvl="0" w:tplc="02886B24">
      <w:start w:val="1"/>
      <w:numFmt w:val="bullet"/>
      <w:lvlText w:val="-"/>
      <w:lvlJc w:val="left"/>
      <w:pPr>
        <w:ind w:left="1065" w:hanging="360"/>
      </w:pPr>
      <w:rPr>
        <w:rFonts w:ascii="Times New Roman" w:eastAsia="Times New Roman"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8" w15:restartNumberingAfterBreak="0">
    <w:nsid w:val="62313436"/>
    <w:multiLevelType w:val="hybridMultilevel"/>
    <w:tmpl w:val="D4A69B5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3F5036C"/>
    <w:multiLevelType w:val="hybridMultilevel"/>
    <w:tmpl w:val="3C6E9C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7C70DA4"/>
    <w:multiLevelType w:val="hybridMultilevel"/>
    <w:tmpl w:val="396E7D5E"/>
    <w:lvl w:ilvl="0" w:tplc="E0803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556FD2"/>
    <w:multiLevelType w:val="hybridMultilevel"/>
    <w:tmpl w:val="BD6EB01C"/>
    <w:lvl w:ilvl="0" w:tplc="93F0FA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B44792"/>
    <w:multiLevelType w:val="hybridMultilevel"/>
    <w:tmpl w:val="4364A2D8"/>
    <w:lvl w:ilvl="0" w:tplc="33303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3"/>
  </w:num>
  <w:num w:numId="4">
    <w:abstractNumId w:val="16"/>
  </w:num>
  <w:num w:numId="5">
    <w:abstractNumId w:val="15"/>
  </w:num>
  <w:num w:numId="6">
    <w:abstractNumId w:val="22"/>
  </w:num>
  <w:num w:numId="7">
    <w:abstractNumId w:val="2"/>
  </w:num>
  <w:num w:numId="8">
    <w:abstractNumId w:val="8"/>
  </w:num>
  <w:num w:numId="9">
    <w:abstractNumId w:val="11"/>
  </w:num>
  <w:num w:numId="10">
    <w:abstractNumId w:val="4"/>
  </w:num>
  <w:num w:numId="11">
    <w:abstractNumId w:val="20"/>
  </w:num>
  <w:num w:numId="12">
    <w:abstractNumId w:val="21"/>
  </w:num>
  <w:num w:numId="13">
    <w:abstractNumId w:val="10"/>
  </w:num>
  <w:num w:numId="14">
    <w:abstractNumId w:val="6"/>
  </w:num>
  <w:num w:numId="15">
    <w:abstractNumId w:val="17"/>
  </w:num>
  <w:num w:numId="16">
    <w:abstractNumId w:val="19"/>
  </w:num>
  <w:num w:numId="17">
    <w:abstractNumId w:val="5"/>
  </w:num>
  <w:num w:numId="18">
    <w:abstractNumId w:val="9"/>
  </w:num>
  <w:num w:numId="19">
    <w:abstractNumId w:val="12"/>
  </w:num>
  <w:num w:numId="20">
    <w:abstractNumId w:val="7"/>
  </w:num>
  <w:num w:numId="21">
    <w:abstractNumId w:val="18"/>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E1"/>
    <w:rsid w:val="00017059"/>
    <w:rsid w:val="00024EC1"/>
    <w:rsid w:val="000303C4"/>
    <w:rsid w:val="00036416"/>
    <w:rsid w:val="00062905"/>
    <w:rsid w:val="000646FB"/>
    <w:rsid w:val="00073F1C"/>
    <w:rsid w:val="00077ECA"/>
    <w:rsid w:val="000804D2"/>
    <w:rsid w:val="00081C3C"/>
    <w:rsid w:val="00092FC9"/>
    <w:rsid w:val="000A6CD7"/>
    <w:rsid w:val="000B0974"/>
    <w:rsid w:val="000B163E"/>
    <w:rsid w:val="000B5C5D"/>
    <w:rsid w:val="000B6C48"/>
    <w:rsid w:val="000B75E4"/>
    <w:rsid w:val="000C1097"/>
    <w:rsid w:val="000E03A3"/>
    <w:rsid w:val="00122D16"/>
    <w:rsid w:val="00140B9F"/>
    <w:rsid w:val="0014782D"/>
    <w:rsid w:val="00154A20"/>
    <w:rsid w:val="0015530E"/>
    <w:rsid w:val="00156575"/>
    <w:rsid w:val="00161321"/>
    <w:rsid w:val="001968AD"/>
    <w:rsid w:val="001A206B"/>
    <w:rsid w:val="001B0722"/>
    <w:rsid w:val="001B45DC"/>
    <w:rsid w:val="001F433F"/>
    <w:rsid w:val="00205FBB"/>
    <w:rsid w:val="0021072E"/>
    <w:rsid w:val="00222ABF"/>
    <w:rsid w:val="002307AC"/>
    <w:rsid w:val="00282CD8"/>
    <w:rsid w:val="00282D00"/>
    <w:rsid w:val="0028657C"/>
    <w:rsid w:val="00291B91"/>
    <w:rsid w:val="002C07D0"/>
    <w:rsid w:val="002E7F01"/>
    <w:rsid w:val="0030293E"/>
    <w:rsid w:val="003154C2"/>
    <w:rsid w:val="003166BF"/>
    <w:rsid w:val="0032062F"/>
    <w:rsid w:val="003238EB"/>
    <w:rsid w:val="00327378"/>
    <w:rsid w:val="00343B65"/>
    <w:rsid w:val="00344B25"/>
    <w:rsid w:val="00346565"/>
    <w:rsid w:val="0038276A"/>
    <w:rsid w:val="00397302"/>
    <w:rsid w:val="003A46AA"/>
    <w:rsid w:val="003B2497"/>
    <w:rsid w:val="003C111F"/>
    <w:rsid w:val="003D2BD5"/>
    <w:rsid w:val="003D575E"/>
    <w:rsid w:val="003E2715"/>
    <w:rsid w:val="00410743"/>
    <w:rsid w:val="00447A99"/>
    <w:rsid w:val="00462AF8"/>
    <w:rsid w:val="004766EB"/>
    <w:rsid w:val="004858CC"/>
    <w:rsid w:val="004A26A2"/>
    <w:rsid w:val="004E1512"/>
    <w:rsid w:val="004E1897"/>
    <w:rsid w:val="004F63E5"/>
    <w:rsid w:val="005105F5"/>
    <w:rsid w:val="00513345"/>
    <w:rsid w:val="0051634B"/>
    <w:rsid w:val="00535423"/>
    <w:rsid w:val="005623C8"/>
    <w:rsid w:val="00566120"/>
    <w:rsid w:val="005912AD"/>
    <w:rsid w:val="005A0339"/>
    <w:rsid w:val="005B0617"/>
    <w:rsid w:val="005B6963"/>
    <w:rsid w:val="005C08B8"/>
    <w:rsid w:val="005C4088"/>
    <w:rsid w:val="005E3F0F"/>
    <w:rsid w:val="005E6E60"/>
    <w:rsid w:val="005F7AAF"/>
    <w:rsid w:val="006123CE"/>
    <w:rsid w:val="00615ABD"/>
    <w:rsid w:val="00616C30"/>
    <w:rsid w:val="00620BFB"/>
    <w:rsid w:val="006219F7"/>
    <w:rsid w:val="00630C90"/>
    <w:rsid w:val="0065162E"/>
    <w:rsid w:val="00664234"/>
    <w:rsid w:val="0067047A"/>
    <w:rsid w:val="00671B6F"/>
    <w:rsid w:val="00676CAB"/>
    <w:rsid w:val="0068740C"/>
    <w:rsid w:val="006C415A"/>
    <w:rsid w:val="006C7698"/>
    <w:rsid w:val="006F269E"/>
    <w:rsid w:val="0070070C"/>
    <w:rsid w:val="007815BA"/>
    <w:rsid w:val="00783531"/>
    <w:rsid w:val="00792AAD"/>
    <w:rsid w:val="007B50E9"/>
    <w:rsid w:val="007F1E14"/>
    <w:rsid w:val="007F53C4"/>
    <w:rsid w:val="00805B21"/>
    <w:rsid w:val="008218FA"/>
    <w:rsid w:val="00841FB4"/>
    <w:rsid w:val="0084504D"/>
    <w:rsid w:val="0087337D"/>
    <w:rsid w:val="00885C5E"/>
    <w:rsid w:val="00897D7A"/>
    <w:rsid w:val="008A6B41"/>
    <w:rsid w:val="008C33BB"/>
    <w:rsid w:val="008D4015"/>
    <w:rsid w:val="008E128D"/>
    <w:rsid w:val="008F15BB"/>
    <w:rsid w:val="009047E5"/>
    <w:rsid w:val="00906CB0"/>
    <w:rsid w:val="009217CB"/>
    <w:rsid w:val="00931F9D"/>
    <w:rsid w:val="00951941"/>
    <w:rsid w:val="00955AFA"/>
    <w:rsid w:val="00955B67"/>
    <w:rsid w:val="009873D0"/>
    <w:rsid w:val="009B4186"/>
    <w:rsid w:val="009C1CEC"/>
    <w:rsid w:val="009E7BDE"/>
    <w:rsid w:val="009F4249"/>
    <w:rsid w:val="009F75EA"/>
    <w:rsid w:val="00A04267"/>
    <w:rsid w:val="00A21F83"/>
    <w:rsid w:val="00A453B2"/>
    <w:rsid w:val="00A45CCC"/>
    <w:rsid w:val="00A633C7"/>
    <w:rsid w:val="00A77B26"/>
    <w:rsid w:val="00AA5F30"/>
    <w:rsid w:val="00AB5106"/>
    <w:rsid w:val="00AB7448"/>
    <w:rsid w:val="00AE43F8"/>
    <w:rsid w:val="00AE5753"/>
    <w:rsid w:val="00AF5BE1"/>
    <w:rsid w:val="00B03541"/>
    <w:rsid w:val="00B10ADB"/>
    <w:rsid w:val="00B143F1"/>
    <w:rsid w:val="00B34B0C"/>
    <w:rsid w:val="00B35E60"/>
    <w:rsid w:val="00B8413D"/>
    <w:rsid w:val="00B934FD"/>
    <w:rsid w:val="00BC4688"/>
    <w:rsid w:val="00BC66B1"/>
    <w:rsid w:val="00BE386A"/>
    <w:rsid w:val="00C11402"/>
    <w:rsid w:val="00C21483"/>
    <w:rsid w:val="00C3043B"/>
    <w:rsid w:val="00C42E63"/>
    <w:rsid w:val="00C474A5"/>
    <w:rsid w:val="00C74F65"/>
    <w:rsid w:val="00C81E2F"/>
    <w:rsid w:val="00C83A52"/>
    <w:rsid w:val="00C95B21"/>
    <w:rsid w:val="00CB53F1"/>
    <w:rsid w:val="00CF299D"/>
    <w:rsid w:val="00D22B89"/>
    <w:rsid w:val="00D268C9"/>
    <w:rsid w:val="00D3058B"/>
    <w:rsid w:val="00D33DE7"/>
    <w:rsid w:val="00D37E29"/>
    <w:rsid w:val="00D404FD"/>
    <w:rsid w:val="00D548C0"/>
    <w:rsid w:val="00D57245"/>
    <w:rsid w:val="00D716A9"/>
    <w:rsid w:val="00D77D2A"/>
    <w:rsid w:val="00D8159C"/>
    <w:rsid w:val="00D91CD9"/>
    <w:rsid w:val="00DA369D"/>
    <w:rsid w:val="00DC2CA1"/>
    <w:rsid w:val="00DC53DB"/>
    <w:rsid w:val="00DE6BD7"/>
    <w:rsid w:val="00E01E74"/>
    <w:rsid w:val="00E04F60"/>
    <w:rsid w:val="00E65B36"/>
    <w:rsid w:val="00E82AB2"/>
    <w:rsid w:val="00E92EBA"/>
    <w:rsid w:val="00E96184"/>
    <w:rsid w:val="00EA1C2A"/>
    <w:rsid w:val="00EA7DC1"/>
    <w:rsid w:val="00EB618C"/>
    <w:rsid w:val="00ED265B"/>
    <w:rsid w:val="00ED30BE"/>
    <w:rsid w:val="00EE12BB"/>
    <w:rsid w:val="00EE59C6"/>
    <w:rsid w:val="00F060BB"/>
    <w:rsid w:val="00F20494"/>
    <w:rsid w:val="00F32AAC"/>
    <w:rsid w:val="00F64325"/>
    <w:rsid w:val="00F75137"/>
    <w:rsid w:val="00F848D7"/>
    <w:rsid w:val="00F85B1E"/>
    <w:rsid w:val="00F87279"/>
    <w:rsid w:val="00FA40EE"/>
    <w:rsid w:val="00FB07F0"/>
    <w:rsid w:val="00FB3D86"/>
    <w:rsid w:val="00FE6544"/>
    <w:rsid w:val="00FF06B6"/>
    <w:rsid w:val="00FF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8B5870E-7E8E-4592-BD55-BF89C0FC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hr-HR" w:eastAsia="hr-HR"/>
    </w:rPr>
  </w:style>
  <w:style w:type="paragraph" w:styleId="Naslov1">
    <w:name w:val="heading 1"/>
    <w:basedOn w:val="Normal"/>
    <w:link w:val="Naslov1Char"/>
    <w:uiPriority w:val="9"/>
    <w:qFormat/>
    <w:rsid w:val="001B45DC"/>
    <w:pPr>
      <w:spacing w:before="100" w:beforeAutospacing="1" w:after="100" w:afterAutospacing="1"/>
      <w:outlineLvl w:val="0"/>
    </w:pPr>
    <w:rPr>
      <w:b/>
      <w:bCs/>
      <w:kern w:val="36"/>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Kartadokumenta">
    <w:name w:val="Document Map"/>
    <w:basedOn w:val="Normal"/>
    <w:semiHidden/>
    <w:rsid w:val="00327378"/>
    <w:pPr>
      <w:shd w:val="clear" w:color="auto" w:fill="000080"/>
    </w:pPr>
    <w:rPr>
      <w:rFonts w:ascii="Tahoma" w:hAnsi="Tahoma" w:cs="Tahoma"/>
    </w:rPr>
  </w:style>
  <w:style w:type="paragraph" w:styleId="Tekstbalonia">
    <w:name w:val="Balloon Text"/>
    <w:basedOn w:val="Normal"/>
    <w:semiHidden/>
    <w:rsid w:val="009217CB"/>
    <w:rPr>
      <w:rFonts w:ascii="Tahoma" w:hAnsi="Tahoma" w:cs="Tahoma"/>
      <w:sz w:val="16"/>
      <w:szCs w:val="16"/>
    </w:rPr>
  </w:style>
  <w:style w:type="paragraph" w:styleId="Zaglavlje">
    <w:name w:val="header"/>
    <w:basedOn w:val="Normal"/>
    <w:link w:val="ZaglavljeChar"/>
    <w:uiPriority w:val="99"/>
    <w:unhideWhenUsed/>
    <w:rsid w:val="00AE43F8"/>
    <w:pPr>
      <w:tabs>
        <w:tab w:val="center" w:pos="4703"/>
        <w:tab w:val="right" w:pos="9406"/>
      </w:tabs>
    </w:pPr>
  </w:style>
  <w:style w:type="character" w:customStyle="1" w:styleId="ZaglavljeChar">
    <w:name w:val="Zaglavlje Char"/>
    <w:link w:val="Zaglavlje"/>
    <w:uiPriority w:val="99"/>
    <w:rsid w:val="00AE43F8"/>
    <w:rPr>
      <w:sz w:val="24"/>
      <w:szCs w:val="24"/>
      <w:lang w:val="hr-HR" w:eastAsia="hr-HR"/>
    </w:rPr>
  </w:style>
  <w:style w:type="paragraph" w:styleId="Podnoje">
    <w:name w:val="footer"/>
    <w:basedOn w:val="Normal"/>
    <w:link w:val="PodnojeChar"/>
    <w:uiPriority w:val="99"/>
    <w:unhideWhenUsed/>
    <w:rsid w:val="00AE43F8"/>
    <w:pPr>
      <w:tabs>
        <w:tab w:val="center" w:pos="4703"/>
        <w:tab w:val="right" w:pos="9406"/>
      </w:tabs>
    </w:pPr>
  </w:style>
  <w:style w:type="character" w:customStyle="1" w:styleId="PodnojeChar">
    <w:name w:val="Podnožje Char"/>
    <w:link w:val="Podnoje"/>
    <w:uiPriority w:val="99"/>
    <w:rsid w:val="00AE43F8"/>
    <w:rPr>
      <w:sz w:val="24"/>
      <w:szCs w:val="24"/>
      <w:lang w:val="hr-HR" w:eastAsia="hr-HR"/>
    </w:rPr>
  </w:style>
  <w:style w:type="paragraph" w:styleId="Odlomakpopisa">
    <w:name w:val="List Paragraph"/>
    <w:basedOn w:val="Normal"/>
    <w:uiPriority w:val="34"/>
    <w:qFormat/>
    <w:rsid w:val="00E04F60"/>
    <w:pPr>
      <w:ind w:left="720"/>
      <w:contextualSpacing/>
    </w:pPr>
  </w:style>
  <w:style w:type="character" w:customStyle="1" w:styleId="Naslov1Char">
    <w:name w:val="Naslov 1 Char"/>
    <w:basedOn w:val="Zadanifontodlomka"/>
    <w:link w:val="Naslov1"/>
    <w:uiPriority w:val="9"/>
    <w:rsid w:val="001B45DC"/>
    <w:rPr>
      <w:b/>
      <w:bCs/>
      <w:kern w:val="36"/>
      <w:sz w:val="48"/>
      <w:szCs w:val="48"/>
      <w:lang w:val="hr-HR" w:eastAsia="hr-HR"/>
    </w:rPr>
  </w:style>
  <w:style w:type="table" w:styleId="Reetkatablice">
    <w:name w:val="Table Grid"/>
    <w:basedOn w:val="Obinatablica"/>
    <w:uiPriority w:val="39"/>
    <w:rsid w:val="009C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06411">
      <w:bodyDiv w:val="1"/>
      <w:marLeft w:val="0"/>
      <w:marRight w:val="0"/>
      <w:marTop w:val="0"/>
      <w:marBottom w:val="0"/>
      <w:divBdr>
        <w:top w:val="none" w:sz="0" w:space="0" w:color="auto"/>
        <w:left w:val="none" w:sz="0" w:space="0" w:color="auto"/>
        <w:bottom w:val="none" w:sz="0" w:space="0" w:color="auto"/>
        <w:right w:val="none" w:sz="0" w:space="0" w:color="auto"/>
      </w:divBdr>
    </w:div>
    <w:div w:id="380910443">
      <w:bodyDiv w:val="1"/>
      <w:marLeft w:val="0"/>
      <w:marRight w:val="0"/>
      <w:marTop w:val="0"/>
      <w:marBottom w:val="0"/>
      <w:divBdr>
        <w:top w:val="none" w:sz="0" w:space="0" w:color="auto"/>
        <w:left w:val="none" w:sz="0" w:space="0" w:color="auto"/>
        <w:bottom w:val="none" w:sz="0" w:space="0" w:color="auto"/>
        <w:right w:val="none" w:sz="0" w:space="0" w:color="auto"/>
      </w:divBdr>
    </w:div>
    <w:div w:id="758715472">
      <w:bodyDiv w:val="1"/>
      <w:marLeft w:val="0"/>
      <w:marRight w:val="0"/>
      <w:marTop w:val="0"/>
      <w:marBottom w:val="0"/>
      <w:divBdr>
        <w:top w:val="none" w:sz="0" w:space="0" w:color="auto"/>
        <w:left w:val="none" w:sz="0" w:space="0" w:color="auto"/>
        <w:bottom w:val="none" w:sz="0" w:space="0" w:color="auto"/>
        <w:right w:val="none" w:sz="0" w:space="0" w:color="auto"/>
      </w:divBdr>
    </w:div>
    <w:div w:id="1045638406">
      <w:bodyDiv w:val="1"/>
      <w:marLeft w:val="0"/>
      <w:marRight w:val="0"/>
      <w:marTop w:val="0"/>
      <w:marBottom w:val="0"/>
      <w:divBdr>
        <w:top w:val="none" w:sz="0" w:space="0" w:color="auto"/>
        <w:left w:val="none" w:sz="0" w:space="0" w:color="auto"/>
        <w:bottom w:val="none" w:sz="0" w:space="0" w:color="auto"/>
        <w:right w:val="none" w:sz="0" w:space="0" w:color="auto"/>
      </w:divBdr>
    </w:div>
    <w:div w:id="1237780713">
      <w:bodyDiv w:val="1"/>
      <w:marLeft w:val="0"/>
      <w:marRight w:val="0"/>
      <w:marTop w:val="0"/>
      <w:marBottom w:val="0"/>
      <w:divBdr>
        <w:top w:val="none" w:sz="0" w:space="0" w:color="auto"/>
        <w:left w:val="none" w:sz="0" w:space="0" w:color="auto"/>
        <w:bottom w:val="none" w:sz="0" w:space="0" w:color="auto"/>
        <w:right w:val="none" w:sz="0" w:space="0" w:color="auto"/>
      </w:divBdr>
    </w:div>
    <w:div w:id="1350181877">
      <w:bodyDiv w:val="1"/>
      <w:marLeft w:val="0"/>
      <w:marRight w:val="0"/>
      <w:marTop w:val="0"/>
      <w:marBottom w:val="0"/>
      <w:divBdr>
        <w:top w:val="none" w:sz="0" w:space="0" w:color="auto"/>
        <w:left w:val="none" w:sz="0" w:space="0" w:color="auto"/>
        <w:bottom w:val="none" w:sz="0" w:space="0" w:color="auto"/>
        <w:right w:val="none" w:sz="0" w:space="0" w:color="auto"/>
      </w:divBdr>
    </w:div>
    <w:div w:id="1681203986">
      <w:bodyDiv w:val="1"/>
      <w:marLeft w:val="0"/>
      <w:marRight w:val="0"/>
      <w:marTop w:val="0"/>
      <w:marBottom w:val="0"/>
      <w:divBdr>
        <w:top w:val="none" w:sz="0" w:space="0" w:color="auto"/>
        <w:left w:val="none" w:sz="0" w:space="0" w:color="auto"/>
        <w:bottom w:val="none" w:sz="0" w:space="0" w:color="auto"/>
        <w:right w:val="none" w:sz="0" w:space="0" w:color="auto"/>
      </w:divBdr>
    </w:div>
    <w:div w:id="1923760446">
      <w:bodyDiv w:val="1"/>
      <w:marLeft w:val="0"/>
      <w:marRight w:val="0"/>
      <w:marTop w:val="0"/>
      <w:marBottom w:val="0"/>
      <w:divBdr>
        <w:top w:val="none" w:sz="0" w:space="0" w:color="auto"/>
        <w:left w:val="none" w:sz="0" w:space="0" w:color="auto"/>
        <w:bottom w:val="none" w:sz="0" w:space="0" w:color="auto"/>
        <w:right w:val="none" w:sz="0" w:space="0" w:color="auto"/>
      </w:divBdr>
    </w:div>
    <w:div w:id="20578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9</Pages>
  <Words>3372</Words>
  <Characters>19223</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REPUBLIKA HRVATSKA</vt:lpstr>
    </vt:vector>
  </TitlesOfParts>
  <Company/>
  <LinksUpToDate>false</LinksUpToDate>
  <CharactersWithSpaces>22550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korisnik</dc:creator>
  <cp:keywords/>
  <dc:description/>
  <cp:lastModifiedBy>Administrator</cp:lastModifiedBy>
  <cp:revision>12</cp:revision>
  <cp:lastPrinted>2020-05-07T08:18:00Z</cp:lastPrinted>
  <dcterms:created xsi:type="dcterms:W3CDTF">2024-02-12T13:51:00Z</dcterms:created>
  <dcterms:modified xsi:type="dcterms:W3CDTF">2024-02-14T09:34:00Z</dcterms:modified>
</cp:coreProperties>
</file>