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DC" w:rsidRPr="00953FEB" w:rsidRDefault="00A124CD" w:rsidP="00CB53F1">
      <w:pPr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7.05pt;margin-top:.35pt;width:33.3pt;height:40.3pt;z-index:251659264" o:allowincell="f">
            <v:imagedata r:id="rId7" o:title=""/>
            <w10:wrap type="topAndBottom"/>
          </v:shape>
          <o:OLEObject Type="Embed" ProgID="MS_ClipArt_Gallery" ShapeID="_x0000_s1027" DrawAspect="Content" ObjectID="_1800869807" r:id="rId8"/>
        </w:object>
      </w:r>
      <w:r w:rsidR="001B45DC" w:rsidRPr="00953FEB">
        <w:t>REPUBLIKA HRVATSKA</w:t>
      </w:r>
    </w:p>
    <w:p w:rsidR="001B45DC" w:rsidRPr="00953FEB" w:rsidRDefault="001B45DC" w:rsidP="001B45DC">
      <w:pPr>
        <w:ind w:right="-1391"/>
        <w:contextualSpacing/>
        <w:jc w:val="both"/>
      </w:pPr>
      <w:r w:rsidRPr="00953FE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FEB">
        <w:t>MEĐIMURSKA ŽUPANIJA</w:t>
      </w:r>
    </w:p>
    <w:p w:rsidR="001B45DC" w:rsidRPr="00953FEB" w:rsidRDefault="001B45DC" w:rsidP="001B45DC">
      <w:pPr>
        <w:ind w:right="-1391"/>
        <w:contextualSpacing/>
        <w:jc w:val="both"/>
      </w:pPr>
      <w:r w:rsidRPr="00953FEB">
        <w:t>OPĆINA VRATIŠINEC</w:t>
      </w:r>
    </w:p>
    <w:p w:rsidR="001B45DC" w:rsidRPr="00953FEB" w:rsidRDefault="008E128D">
      <w:r w:rsidRPr="00953FEB">
        <w:t>Jedinstveni upravni odjel</w:t>
      </w:r>
    </w:p>
    <w:p w:rsidR="001B45DC" w:rsidRPr="00953FEB" w:rsidRDefault="001B45DC"/>
    <w:p w:rsidR="00F848D7" w:rsidRPr="00953FEB" w:rsidRDefault="00F848D7">
      <w:r w:rsidRPr="00953FEB">
        <w:t xml:space="preserve">                                                                                          </w:t>
      </w:r>
      <w:r w:rsidR="00AE5753" w:rsidRPr="00953FEB">
        <w:t xml:space="preserve"> OBVEZNIK: Općina </w:t>
      </w:r>
      <w:proofErr w:type="spellStart"/>
      <w:r w:rsidR="00AE5753" w:rsidRPr="00953FEB">
        <w:t>Vratišinec</w:t>
      </w:r>
      <w:proofErr w:type="spellEnd"/>
    </w:p>
    <w:p w:rsidR="00F848D7" w:rsidRPr="00953FEB" w:rsidRDefault="00F848D7">
      <w:r w:rsidRPr="00953FEB">
        <w:t xml:space="preserve">                                                                         </w:t>
      </w:r>
      <w:r w:rsidR="00AE5753" w:rsidRPr="00953FEB">
        <w:t xml:space="preserve">                  </w:t>
      </w:r>
      <w:r w:rsidR="00F20494" w:rsidRPr="00953FEB">
        <w:t>Razina: 22</w:t>
      </w:r>
    </w:p>
    <w:p w:rsidR="00F848D7" w:rsidRPr="00953FEB" w:rsidRDefault="00F848D7">
      <w:r w:rsidRPr="00953FEB">
        <w:t xml:space="preserve">                                                                                  </w:t>
      </w:r>
      <w:r w:rsidR="001F433F" w:rsidRPr="00953FEB">
        <w:t xml:space="preserve">         </w:t>
      </w:r>
      <w:r w:rsidR="007F1E14" w:rsidRPr="00953FEB">
        <w:t>Matični broj:</w:t>
      </w:r>
      <w:r w:rsidR="0030293E" w:rsidRPr="00953FEB">
        <w:t xml:space="preserve"> 02637782</w:t>
      </w:r>
    </w:p>
    <w:p w:rsidR="00AE5753" w:rsidRPr="00953FEB" w:rsidRDefault="00906CB0"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  <w:t xml:space="preserve"> </w:t>
      </w:r>
      <w:r w:rsidR="00302B89">
        <w:t xml:space="preserve">        </w:t>
      </w:r>
      <w:r w:rsidR="00AE5753" w:rsidRPr="00953FEB">
        <w:t>RKP: 33618</w:t>
      </w:r>
    </w:p>
    <w:p w:rsidR="00F848D7" w:rsidRPr="00953FEB" w:rsidRDefault="00F848D7">
      <w:r w:rsidRPr="00953FEB">
        <w:t xml:space="preserve">                                                                                  </w:t>
      </w:r>
      <w:r w:rsidR="001F433F" w:rsidRPr="00953FEB">
        <w:t xml:space="preserve">         </w:t>
      </w:r>
      <w:r w:rsidR="00C95B21" w:rsidRPr="00953FEB">
        <w:t>Šifra djelatnosti:</w:t>
      </w:r>
      <w:r w:rsidR="00FE6544" w:rsidRPr="00953FEB">
        <w:t xml:space="preserve"> 8411</w:t>
      </w:r>
    </w:p>
    <w:p w:rsidR="00F848D7" w:rsidRPr="00953FEB" w:rsidRDefault="00F848D7">
      <w:r w:rsidRPr="00953FEB">
        <w:t xml:space="preserve">                                                                        </w:t>
      </w:r>
      <w:r w:rsidR="001F433F" w:rsidRPr="00953FEB">
        <w:t xml:space="preserve">                   IBAN: HR41 2340 0091 8504 00009</w:t>
      </w:r>
    </w:p>
    <w:p w:rsidR="00F848D7" w:rsidRPr="00953FEB" w:rsidRDefault="007F53C4">
      <w:r w:rsidRPr="00953FEB">
        <w:t xml:space="preserve">                                                                           </w:t>
      </w:r>
      <w:r w:rsidR="001F433F" w:rsidRPr="00953FEB">
        <w:t xml:space="preserve">                </w:t>
      </w:r>
      <w:r w:rsidR="0030293E" w:rsidRPr="00953FEB">
        <w:t>OIB</w:t>
      </w:r>
      <w:r w:rsidR="001F433F" w:rsidRPr="00953FEB">
        <w:t>:</w:t>
      </w:r>
      <w:r w:rsidR="0030293E" w:rsidRPr="00953FEB">
        <w:t xml:space="preserve"> 01951413656</w:t>
      </w:r>
    </w:p>
    <w:p w:rsidR="00805B21" w:rsidRPr="00953FEB" w:rsidRDefault="00841FB4" w:rsidP="00CB53F1"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Pr="00953FEB">
        <w:tab/>
      </w:r>
      <w:r w:rsidR="00AE5753" w:rsidRPr="00953FEB">
        <w:t xml:space="preserve"> </w:t>
      </w:r>
    </w:p>
    <w:p w:rsidR="00F848D7" w:rsidRPr="00953FEB" w:rsidRDefault="00AE5753" w:rsidP="006C7698">
      <w:pPr>
        <w:contextualSpacing/>
        <w:jc w:val="center"/>
        <w:outlineLvl w:val="0"/>
        <w:rPr>
          <w:b/>
        </w:rPr>
      </w:pPr>
      <w:r w:rsidRPr="00953FEB">
        <w:rPr>
          <w:b/>
        </w:rPr>
        <w:t>BILJEŠKE UZ FINANCIJSKE</w:t>
      </w:r>
      <w:r w:rsidR="00F848D7" w:rsidRPr="00953FEB">
        <w:rPr>
          <w:b/>
        </w:rPr>
        <w:t xml:space="preserve"> </w:t>
      </w:r>
      <w:r w:rsidRPr="00953FEB">
        <w:rPr>
          <w:b/>
        </w:rPr>
        <w:t>IZVJEŠTAJE ZA RAZDOBLJE</w:t>
      </w:r>
    </w:p>
    <w:p w:rsidR="00F848D7" w:rsidRPr="00953FEB" w:rsidRDefault="001F433F" w:rsidP="001F433F">
      <w:pPr>
        <w:contextualSpacing/>
        <w:jc w:val="center"/>
        <w:rPr>
          <w:b/>
        </w:rPr>
      </w:pPr>
      <w:r w:rsidRPr="00953FEB">
        <w:rPr>
          <w:b/>
        </w:rPr>
        <w:t>01.</w:t>
      </w:r>
      <w:r w:rsidR="00462AF8" w:rsidRPr="00953FEB">
        <w:rPr>
          <w:b/>
        </w:rPr>
        <w:t>01.</w:t>
      </w:r>
      <w:r w:rsidR="00302B89">
        <w:rPr>
          <w:b/>
        </w:rPr>
        <w:t>2024</w:t>
      </w:r>
      <w:r w:rsidR="00F060BB" w:rsidRPr="00953FEB">
        <w:rPr>
          <w:b/>
        </w:rPr>
        <w:t xml:space="preserve">. – </w:t>
      </w:r>
      <w:r w:rsidR="00B143F1" w:rsidRPr="00953FEB">
        <w:rPr>
          <w:b/>
        </w:rPr>
        <w:t>31</w:t>
      </w:r>
      <w:r w:rsidR="00F060BB" w:rsidRPr="00953FEB">
        <w:rPr>
          <w:b/>
        </w:rPr>
        <w:t>.</w:t>
      </w:r>
      <w:r w:rsidR="00B143F1" w:rsidRPr="00953FEB">
        <w:rPr>
          <w:b/>
        </w:rPr>
        <w:t>12</w:t>
      </w:r>
      <w:r w:rsidR="00F060BB" w:rsidRPr="00953FEB">
        <w:rPr>
          <w:b/>
        </w:rPr>
        <w:t>.</w:t>
      </w:r>
      <w:r w:rsidR="00302B89">
        <w:rPr>
          <w:b/>
        </w:rPr>
        <w:t>2024</w:t>
      </w:r>
      <w:r w:rsidR="00F060BB" w:rsidRPr="00953FEB">
        <w:rPr>
          <w:b/>
        </w:rPr>
        <w:t xml:space="preserve">. </w:t>
      </w:r>
    </w:p>
    <w:p w:rsidR="00AE5753" w:rsidRPr="00953FEB" w:rsidRDefault="00AE5753" w:rsidP="001F433F">
      <w:pPr>
        <w:contextualSpacing/>
        <w:jc w:val="center"/>
        <w:rPr>
          <w:b/>
        </w:rPr>
      </w:pPr>
    </w:p>
    <w:p w:rsidR="00AE5753" w:rsidRPr="00953FEB" w:rsidRDefault="00AE5753" w:rsidP="002E7F01">
      <w:pPr>
        <w:contextualSpacing/>
        <w:jc w:val="both"/>
      </w:pPr>
      <w:r w:rsidRPr="00953FEB">
        <w:t>Na temelju podataka iz računovodstva sastavljeni su fina</w:t>
      </w:r>
      <w:r w:rsidR="001B45DC" w:rsidRPr="00953FEB">
        <w:t xml:space="preserve">ncijski izvještaji </w:t>
      </w:r>
      <w:r w:rsidR="00EB618C" w:rsidRPr="00953FEB">
        <w:t>verzija 8.1</w:t>
      </w:r>
      <w:r w:rsidR="00FD405E" w:rsidRPr="00953FEB">
        <w:t>.5</w:t>
      </w:r>
      <w:r w:rsidRPr="00953FEB">
        <w:t xml:space="preserve">. za </w:t>
      </w:r>
      <w:r w:rsidR="00CB53F1" w:rsidRPr="00953FEB">
        <w:t xml:space="preserve">razdoblje 01.01. do </w:t>
      </w:r>
      <w:r w:rsidR="00B143F1" w:rsidRPr="00953FEB">
        <w:t>31</w:t>
      </w:r>
      <w:r w:rsidR="008C33BB" w:rsidRPr="00953FEB">
        <w:t>.</w:t>
      </w:r>
      <w:r w:rsidR="00B143F1" w:rsidRPr="00953FEB">
        <w:t>12</w:t>
      </w:r>
      <w:r w:rsidR="008C33BB" w:rsidRPr="00953FEB">
        <w:t>.</w:t>
      </w:r>
      <w:r w:rsidR="00FD405E" w:rsidRPr="00953FEB">
        <w:t>2024</w:t>
      </w:r>
      <w:r w:rsidR="008C33BB" w:rsidRPr="00953FEB">
        <w:t>. godine (</w:t>
      </w:r>
      <w:r w:rsidR="00B143F1" w:rsidRPr="00953FEB">
        <w:t>Bilanca, Izvještaj o prihodima i rashodima, primicima i izdacima, izvještaj o rashodima prema funkcijskoj klasifikaciji, Izvještaj o obvezama)</w:t>
      </w:r>
    </w:p>
    <w:p w:rsidR="00C81E2F" w:rsidRPr="00953FEB" w:rsidRDefault="00AE5753" w:rsidP="002E7F01">
      <w:pPr>
        <w:pStyle w:val="Naslov1"/>
        <w:shd w:val="clear" w:color="auto" w:fill="FFFFFF"/>
        <w:spacing w:before="0" w:beforeAutospacing="0"/>
        <w:jc w:val="both"/>
        <w:rPr>
          <w:b w:val="0"/>
          <w:sz w:val="24"/>
          <w:szCs w:val="24"/>
        </w:rPr>
      </w:pPr>
      <w:r w:rsidRPr="00953FEB">
        <w:rPr>
          <w:b w:val="0"/>
          <w:sz w:val="24"/>
          <w:szCs w:val="24"/>
        </w:rPr>
        <w:t xml:space="preserve">Obrasci su dostavljeni u propisanom roku, do </w:t>
      </w:r>
      <w:r w:rsidR="00FD405E" w:rsidRPr="00953FEB">
        <w:rPr>
          <w:b w:val="0"/>
          <w:sz w:val="24"/>
          <w:szCs w:val="24"/>
        </w:rPr>
        <w:t>17</w:t>
      </w:r>
      <w:r w:rsidR="001B45DC" w:rsidRPr="00953FEB">
        <w:rPr>
          <w:b w:val="0"/>
          <w:sz w:val="24"/>
          <w:szCs w:val="24"/>
        </w:rPr>
        <w:t xml:space="preserve">. </w:t>
      </w:r>
      <w:r w:rsidR="00B143F1" w:rsidRPr="00953FEB">
        <w:rPr>
          <w:b w:val="0"/>
          <w:sz w:val="24"/>
          <w:szCs w:val="24"/>
        </w:rPr>
        <w:t>veljače</w:t>
      </w:r>
      <w:r w:rsidR="001B45DC" w:rsidRPr="00953FEB">
        <w:rPr>
          <w:b w:val="0"/>
          <w:sz w:val="24"/>
          <w:szCs w:val="24"/>
        </w:rPr>
        <w:t xml:space="preserve"> </w:t>
      </w:r>
      <w:r w:rsidR="00FD405E" w:rsidRPr="00953FEB">
        <w:rPr>
          <w:b w:val="0"/>
          <w:sz w:val="24"/>
          <w:szCs w:val="24"/>
        </w:rPr>
        <w:t>2025</w:t>
      </w:r>
      <w:r w:rsidR="001B45DC" w:rsidRPr="00953FEB">
        <w:rPr>
          <w:b w:val="0"/>
          <w:sz w:val="24"/>
          <w:szCs w:val="24"/>
        </w:rPr>
        <w:t>. godine putem sustava RKPF</w:t>
      </w:r>
      <w:r w:rsidR="00EB618C" w:rsidRPr="00953FEB">
        <w:rPr>
          <w:b w:val="0"/>
          <w:sz w:val="24"/>
          <w:szCs w:val="24"/>
        </w:rPr>
        <w:t>I</w:t>
      </w:r>
      <w:r w:rsidR="00B8413D" w:rsidRPr="00953FEB">
        <w:rPr>
          <w:b w:val="0"/>
          <w:sz w:val="24"/>
          <w:szCs w:val="24"/>
        </w:rPr>
        <w:t>, a sve u skladu s Okružnicom Ministar</w:t>
      </w:r>
      <w:r w:rsidR="00EB618C" w:rsidRPr="00953FEB">
        <w:rPr>
          <w:b w:val="0"/>
          <w:sz w:val="24"/>
          <w:szCs w:val="24"/>
        </w:rPr>
        <w:t>stva financija (KLASA: 400-02/</w:t>
      </w:r>
      <w:r w:rsidR="00FD405E" w:rsidRPr="00953FEB">
        <w:rPr>
          <w:b w:val="0"/>
          <w:sz w:val="24"/>
          <w:szCs w:val="24"/>
        </w:rPr>
        <w:t>24</w:t>
      </w:r>
      <w:r w:rsidR="00EB618C" w:rsidRPr="00953FEB">
        <w:rPr>
          <w:b w:val="0"/>
          <w:sz w:val="24"/>
          <w:szCs w:val="24"/>
        </w:rPr>
        <w:t>-01/</w:t>
      </w:r>
      <w:r w:rsidR="00FD405E" w:rsidRPr="00953FEB">
        <w:rPr>
          <w:b w:val="0"/>
          <w:sz w:val="24"/>
          <w:szCs w:val="24"/>
        </w:rPr>
        <w:t>19</w:t>
      </w:r>
      <w:r w:rsidR="00B8413D" w:rsidRPr="00953FEB">
        <w:rPr>
          <w:b w:val="0"/>
          <w:sz w:val="24"/>
          <w:szCs w:val="24"/>
        </w:rPr>
        <w:t>, URBROJ: 513-05-03-</w:t>
      </w:r>
      <w:r w:rsidR="006C2DC9" w:rsidRPr="00953FEB">
        <w:rPr>
          <w:b w:val="0"/>
          <w:sz w:val="24"/>
          <w:szCs w:val="24"/>
        </w:rPr>
        <w:t>25</w:t>
      </w:r>
      <w:r w:rsidR="00EB618C" w:rsidRPr="00953FEB">
        <w:rPr>
          <w:b w:val="0"/>
          <w:sz w:val="24"/>
          <w:szCs w:val="24"/>
        </w:rPr>
        <w:t>-4</w:t>
      </w:r>
      <w:r w:rsidR="00B8413D" w:rsidRPr="00953FEB">
        <w:rPr>
          <w:b w:val="0"/>
          <w:sz w:val="24"/>
          <w:szCs w:val="24"/>
        </w:rPr>
        <w:t xml:space="preserve">) od </w:t>
      </w:r>
      <w:r w:rsidR="006C2DC9" w:rsidRPr="00953FEB">
        <w:rPr>
          <w:b w:val="0"/>
          <w:sz w:val="24"/>
          <w:szCs w:val="24"/>
        </w:rPr>
        <w:t>14. siječnja 2025.</w:t>
      </w:r>
    </w:p>
    <w:p w:rsidR="00282D00" w:rsidRPr="00953FEB" w:rsidRDefault="001B45DC" w:rsidP="007B50E9">
      <w:pPr>
        <w:contextualSpacing/>
        <w:jc w:val="both"/>
      </w:pPr>
      <w:r w:rsidRPr="00953FEB">
        <w:t xml:space="preserve">Općina </w:t>
      </w:r>
      <w:proofErr w:type="spellStart"/>
      <w:r w:rsidRPr="00953FEB">
        <w:t>Vratišinec</w:t>
      </w:r>
      <w:proofErr w:type="spellEnd"/>
      <w:r w:rsidRPr="00953FEB">
        <w:t xml:space="preserve"> </w:t>
      </w:r>
      <w:r w:rsidR="00FD405E" w:rsidRPr="00953FEB">
        <w:t>ima jednog proračunskog korisnika: DJEČJI VRTIĆ SRČEKO.</w:t>
      </w:r>
    </w:p>
    <w:p w:rsidR="001B45DC" w:rsidRPr="00953FEB" w:rsidRDefault="001B45DC" w:rsidP="00DE6BD7">
      <w:pPr>
        <w:jc w:val="both"/>
        <w:outlineLvl w:val="0"/>
      </w:pPr>
    </w:p>
    <w:p w:rsidR="00282D00" w:rsidRPr="00953FEB" w:rsidRDefault="00282D00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953FEB">
        <w:rPr>
          <w:b/>
        </w:rPr>
        <w:t>Bilješke uz obrazac OBVEZE</w:t>
      </w:r>
    </w:p>
    <w:p w:rsidR="00EB618C" w:rsidRPr="00953FEB" w:rsidRDefault="00EB618C" w:rsidP="005912AD">
      <w:pPr>
        <w:jc w:val="both"/>
        <w:outlineLvl w:val="0"/>
      </w:pPr>
    </w:p>
    <w:p w:rsidR="00EB618C" w:rsidRPr="00953FEB" w:rsidRDefault="00302B89" w:rsidP="005912AD">
      <w:pPr>
        <w:jc w:val="both"/>
        <w:outlineLvl w:val="0"/>
      </w:pPr>
      <w:r>
        <w:t>Stanje obveza 1.1.2024</w:t>
      </w:r>
      <w:r w:rsidR="00EB618C" w:rsidRPr="00953FEB">
        <w:t xml:space="preserve">. su </w:t>
      </w:r>
      <w:r w:rsidR="006C2DC9" w:rsidRPr="00953FEB">
        <w:rPr>
          <w:b/>
        </w:rPr>
        <w:t>39</w:t>
      </w:r>
      <w:r w:rsidR="00EB618C" w:rsidRPr="00953FEB">
        <w:rPr>
          <w:b/>
        </w:rPr>
        <w:t>.</w:t>
      </w:r>
      <w:r w:rsidR="006C2DC9" w:rsidRPr="00953FEB">
        <w:rPr>
          <w:b/>
        </w:rPr>
        <w:t>285</w:t>
      </w:r>
      <w:r w:rsidR="00EB618C" w:rsidRPr="00953FEB">
        <w:rPr>
          <w:b/>
        </w:rPr>
        <w:t>,</w:t>
      </w:r>
      <w:r w:rsidR="006C2DC9" w:rsidRPr="00953FEB">
        <w:rPr>
          <w:b/>
        </w:rPr>
        <w:t>96</w:t>
      </w:r>
      <w:r w:rsidR="00EB618C" w:rsidRPr="00953FEB">
        <w:rPr>
          <w:b/>
        </w:rPr>
        <w:t xml:space="preserve"> EUR</w:t>
      </w:r>
      <w:r w:rsidR="00EB618C" w:rsidRPr="00953FEB">
        <w:t>. U razdoblju od 02.01.</w:t>
      </w:r>
      <w:r>
        <w:t>2024</w:t>
      </w:r>
      <w:r w:rsidR="00EB618C" w:rsidRPr="00953FEB">
        <w:t>. do 31.12.</w:t>
      </w:r>
      <w:r>
        <w:t>2024</w:t>
      </w:r>
      <w:r w:rsidR="00EB618C" w:rsidRPr="00953FEB">
        <w:t xml:space="preserve">. godine povećanje obveza u iznosu od </w:t>
      </w:r>
      <w:r w:rsidR="006C2DC9" w:rsidRPr="00953FEB">
        <w:t>2.396.013,61</w:t>
      </w:r>
      <w:r w:rsidR="00EB618C" w:rsidRPr="00953FEB">
        <w:t xml:space="preserve"> EUR, a podmirenje obveza u istome periodu </w:t>
      </w:r>
      <w:r w:rsidR="006C2DC9" w:rsidRPr="00953FEB">
        <w:t xml:space="preserve">2.368.753,40 </w:t>
      </w:r>
      <w:r w:rsidR="00EB618C" w:rsidRPr="00953FEB">
        <w:t>EUR što na kraju izvještajnog razdoblja odnosno na dan 31.12.</w:t>
      </w:r>
      <w:r>
        <w:t>2024</w:t>
      </w:r>
      <w:r w:rsidR="00EB618C" w:rsidRPr="00953FEB">
        <w:t xml:space="preserve">. godine iznosi </w:t>
      </w:r>
      <w:r w:rsidR="006C2DC9" w:rsidRPr="00953FEB">
        <w:rPr>
          <w:b/>
        </w:rPr>
        <w:t>66.546,17</w:t>
      </w:r>
      <w:r w:rsidR="00EB618C" w:rsidRPr="00953FEB">
        <w:rPr>
          <w:b/>
        </w:rPr>
        <w:t xml:space="preserve"> EUR</w:t>
      </w:r>
      <w:r w:rsidR="005B495F">
        <w:rPr>
          <w:b/>
        </w:rPr>
        <w:t xml:space="preserve"> (šifra V006)</w:t>
      </w:r>
      <w:r w:rsidR="00EB618C" w:rsidRPr="00953FEB">
        <w:t xml:space="preserve">. </w:t>
      </w:r>
    </w:p>
    <w:p w:rsidR="00EB618C" w:rsidRPr="00953FEB" w:rsidRDefault="00EB618C" w:rsidP="005912AD">
      <w:pPr>
        <w:jc w:val="both"/>
        <w:outlineLvl w:val="0"/>
      </w:pPr>
    </w:p>
    <w:p w:rsidR="00953FEB" w:rsidRPr="00953FEB" w:rsidRDefault="006C2DC9" w:rsidP="00C42E63">
      <w:pPr>
        <w:jc w:val="both"/>
        <w:outlineLvl w:val="0"/>
      </w:pPr>
      <w:r w:rsidRPr="00953FEB">
        <w:t xml:space="preserve">Stanje dospjelih obveza: </w:t>
      </w:r>
      <w:r w:rsidRPr="005B495F">
        <w:rPr>
          <w:b/>
        </w:rPr>
        <w:t>45.300,11 EUR</w:t>
      </w:r>
      <w:r w:rsidR="00953FEB" w:rsidRPr="005B495F">
        <w:rPr>
          <w:b/>
        </w:rPr>
        <w:t>:</w:t>
      </w:r>
    </w:p>
    <w:p w:rsidR="00953FEB" w:rsidRDefault="005B495F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24 dobavljači – 32.273,50 EUR</w:t>
      </w:r>
    </w:p>
    <w:p w:rsidR="005B495F" w:rsidRDefault="005B495F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239 jamčevine – 1.355,29 EUR</w:t>
      </w:r>
    </w:p>
    <w:p w:rsidR="005B495F" w:rsidRDefault="005B495F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239 Dug Međimurska županija – legalizacija – 184,62 EUR</w:t>
      </w:r>
    </w:p>
    <w:p w:rsidR="005B495F" w:rsidRDefault="005B495F" w:rsidP="005B495F">
      <w:pPr>
        <w:pStyle w:val="Odlomakpopisa"/>
        <w:numPr>
          <w:ilvl w:val="0"/>
          <w:numId w:val="27"/>
        </w:numPr>
        <w:jc w:val="both"/>
        <w:outlineLvl w:val="0"/>
      </w:pPr>
      <w:r>
        <w:t>239 Obveza Hrvatske vode – 10.811,92 EUR</w:t>
      </w:r>
    </w:p>
    <w:p w:rsidR="005B495F" w:rsidRPr="00953FEB" w:rsidRDefault="005B495F" w:rsidP="00953FEB">
      <w:pPr>
        <w:pStyle w:val="Odlomakpopisa"/>
        <w:jc w:val="both"/>
        <w:outlineLvl w:val="0"/>
      </w:pPr>
    </w:p>
    <w:p w:rsidR="00953FEB" w:rsidRPr="00953FEB" w:rsidRDefault="00953FEB" w:rsidP="00953FEB">
      <w:pPr>
        <w:jc w:val="both"/>
        <w:outlineLvl w:val="0"/>
      </w:pPr>
      <w:r w:rsidRPr="00953FEB">
        <w:t xml:space="preserve">Stanje nedospjelih obveza: </w:t>
      </w:r>
      <w:r w:rsidRPr="005B495F">
        <w:rPr>
          <w:b/>
        </w:rPr>
        <w:t>21.246,06 EUR</w:t>
      </w:r>
    </w:p>
    <w:p w:rsidR="00953FEB" w:rsidRDefault="00A84554" w:rsidP="00953FEB">
      <w:pPr>
        <w:pStyle w:val="Odlomakpopisa"/>
        <w:numPr>
          <w:ilvl w:val="0"/>
          <w:numId w:val="25"/>
        </w:numPr>
        <w:jc w:val="both"/>
        <w:outlineLvl w:val="0"/>
      </w:pPr>
      <w:r>
        <w:t>23 dobavljači – 8.838,11 EUR</w:t>
      </w:r>
    </w:p>
    <w:p w:rsidR="00A84554" w:rsidRDefault="00A84554" w:rsidP="00953FEB">
      <w:pPr>
        <w:pStyle w:val="Odlomakpopisa"/>
        <w:numPr>
          <w:ilvl w:val="0"/>
          <w:numId w:val="25"/>
        </w:numPr>
        <w:jc w:val="both"/>
        <w:outlineLvl w:val="0"/>
      </w:pPr>
      <w:r>
        <w:t>231 plaća službenika i namještenika za 12/24 – 11.518,64 EUR</w:t>
      </w:r>
    </w:p>
    <w:p w:rsidR="00A84554" w:rsidRDefault="00A84554" w:rsidP="00953FEB">
      <w:pPr>
        <w:pStyle w:val="Odlomakpopisa"/>
        <w:numPr>
          <w:ilvl w:val="0"/>
          <w:numId w:val="25"/>
        </w:numPr>
        <w:jc w:val="both"/>
        <w:outlineLvl w:val="0"/>
      </w:pPr>
      <w:r>
        <w:t>232 putni trošak službenika i namještenika za 12/24 – 497,69 EUR</w:t>
      </w:r>
    </w:p>
    <w:p w:rsidR="00A84554" w:rsidRDefault="00A84554" w:rsidP="00953FEB">
      <w:pPr>
        <w:pStyle w:val="Odlomakpopisa"/>
        <w:numPr>
          <w:ilvl w:val="0"/>
          <w:numId w:val="25"/>
        </w:numPr>
        <w:jc w:val="both"/>
        <w:outlineLvl w:val="0"/>
      </w:pPr>
      <w:r>
        <w:t>232 korištenje automobila u sl. svrhe za 12/24 – 243,00 EUR</w:t>
      </w:r>
    </w:p>
    <w:p w:rsidR="00A84554" w:rsidRPr="00953FEB" w:rsidRDefault="00A84554" w:rsidP="00953FEB">
      <w:pPr>
        <w:pStyle w:val="Odlomakpopisa"/>
        <w:numPr>
          <w:ilvl w:val="0"/>
          <w:numId w:val="25"/>
        </w:numPr>
        <w:jc w:val="both"/>
        <w:outlineLvl w:val="0"/>
      </w:pPr>
      <w:r>
        <w:t>232 naknada za predsjednicu vijeća za 12/24 – 148,62 EUR</w:t>
      </w:r>
    </w:p>
    <w:p w:rsidR="006C2DC9" w:rsidRDefault="006C2DC9" w:rsidP="005B495F">
      <w:pPr>
        <w:outlineLvl w:val="0"/>
      </w:pPr>
    </w:p>
    <w:p w:rsidR="005B495F" w:rsidRPr="00953FEB" w:rsidRDefault="005B495F" w:rsidP="005B495F">
      <w:pPr>
        <w:outlineLvl w:val="0"/>
      </w:pPr>
      <w:r>
        <w:t xml:space="preserve">Stanje dospjelih 45.300,11 EUR + stanje nedospjelih obveza 21.246,06 EUR odgovara stanju obveza na dan 31.12.2024. godine te one iznose 66.546,17 EUR. </w:t>
      </w:r>
    </w:p>
    <w:p w:rsidR="00C42E63" w:rsidRDefault="005B495F" w:rsidP="005912AD">
      <w:pPr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3272155</wp:posOffset>
            </wp:positionV>
            <wp:extent cx="5762625" cy="2828925"/>
            <wp:effectExtent l="0" t="0" r="9525" b="9525"/>
            <wp:wrapTight wrapText="bothSides">
              <wp:wrapPolygon edited="0">
                <wp:start x="0" y="0"/>
                <wp:lineTo x="0" y="21527"/>
                <wp:lineTo x="21564" y="21527"/>
                <wp:lineTo x="21564" y="0"/>
                <wp:lineTo x="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762625" cy="2943225"/>
            <wp:effectExtent l="0" t="0" r="9525" b="9525"/>
            <wp:wrapTight wrapText="bothSides">
              <wp:wrapPolygon edited="0">
                <wp:start x="0" y="0"/>
                <wp:lineTo x="0" y="21530"/>
                <wp:lineTo x="21564" y="21530"/>
                <wp:lineTo x="21564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B163E" w:rsidRPr="005912AD" w:rsidRDefault="000B163E" w:rsidP="005912AD">
      <w:pPr>
        <w:jc w:val="both"/>
        <w:outlineLvl w:val="0"/>
        <w:rPr>
          <w:sz w:val="22"/>
          <w:szCs w:val="22"/>
        </w:rPr>
      </w:pPr>
    </w:p>
    <w:p w:rsidR="00A84554" w:rsidRPr="005B495F" w:rsidRDefault="00A84554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5B495F">
        <w:rPr>
          <w:b/>
        </w:rPr>
        <w:t>Bilješke uz Izvještaj o promjenama u vrijednosti i obujmu imovine i obveza</w:t>
      </w:r>
    </w:p>
    <w:p w:rsidR="00A84554" w:rsidRPr="005B495F" w:rsidRDefault="00A84554" w:rsidP="00A84554">
      <w:pPr>
        <w:jc w:val="both"/>
        <w:outlineLvl w:val="0"/>
        <w:rPr>
          <w:b/>
        </w:rPr>
      </w:pPr>
    </w:p>
    <w:p w:rsidR="00A84554" w:rsidRPr="005B495F" w:rsidRDefault="00A84554" w:rsidP="00A84554">
      <w:pPr>
        <w:jc w:val="both"/>
        <w:outlineLvl w:val="0"/>
      </w:pPr>
      <w:r w:rsidRPr="005B495F">
        <w:t xml:space="preserve">Iznos smanjenja u iznosu od 131.123,94 EUR koji se odnosi na konto dionica i udjelu u glavnici, odnosno </w:t>
      </w:r>
      <w:proofErr w:type="spellStart"/>
      <w:r w:rsidRPr="005B495F">
        <w:t>isknjiženje</w:t>
      </w:r>
      <w:proofErr w:type="spellEnd"/>
      <w:r w:rsidRPr="005B495F">
        <w:t xml:space="preserve"> konta 152121 Udjeli u društvima – u pripremi – javne ovlasti, a na temelju Odluke općinskog vijeća Općine </w:t>
      </w:r>
      <w:proofErr w:type="spellStart"/>
      <w:r w:rsidRPr="005B495F">
        <w:t>Vratišinec</w:t>
      </w:r>
      <w:proofErr w:type="spellEnd"/>
      <w:r w:rsidRPr="005B495F">
        <w:t>.</w:t>
      </w:r>
    </w:p>
    <w:p w:rsidR="00A84554" w:rsidRPr="005B495F" w:rsidRDefault="00A84554" w:rsidP="00A84554">
      <w:pPr>
        <w:jc w:val="both"/>
        <w:outlineLvl w:val="0"/>
      </w:pPr>
      <w:r w:rsidRPr="005B495F">
        <w:t xml:space="preserve">Povećanje od 5,19 EUR za konto 15212 od čega 0,06 </w:t>
      </w:r>
      <w:proofErr w:type="spellStart"/>
      <w:r w:rsidRPr="005B495F">
        <w:t>Murs-ekom</w:t>
      </w:r>
      <w:proofErr w:type="spellEnd"/>
      <w:r w:rsidRPr="005B495F">
        <w:t xml:space="preserve"> d.o.o., dokapitalizacija temeljenog kapitala društva – usklađenje s eurom i 5,13 EUR kod Međimurskih voda d.o.o. iz istoga razloga, a sve na temelju novih Ugovora.</w:t>
      </w:r>
    </w:p>
    <w:p w:rsidR="00A84554" w:rsidRDefault="00A84554" w:rsidP="00A84554">
      <w:pPr>
        <w:jc w:val="both"/>
        <w:outlineLvl w:val="0"/>
        <w:rPr>
          <w:sz w:val="22"/>
          <w:szCs w:val="22"/>
        </w:rPr>
      </w:pPr>
    </w:p>
    <w:p w:rsidR="005B495F" w:rsidRDefault="005B495F" w:rsidP="00A84554">
      <w:pPr>
        <w:jc w:val="both"/>
        <w:outlineLvl w:val="0"/>
        <w:rPr>
          <w:sz w:val="22"/>
          <w:szCs w:val="22"/>
        </w:rPr>
      </w:pPr>
    </w:p>
    <w:p w:rsidR="005B495F" w:rsidRDefault="005B495F" w:rsidP="00A84554">
      <w:pPr>
        <w:jc w:val="both"/>
        <w:outlineLvl w:val="0"/>
        <w:rPr>
          <w:sz w:val="22"/>
          <w:szCs w:val="22"/>
        </w:rPr>
      </w:pPr>
    </w:p>
    <w:p w:rsidR="005B495F" w:rsidRDefault="005B495F" w:rsidP="00A84554">
      <w:pPr>
        <w:jc w:val="both"/>
        <w:outlineLvl w:val="0"/>
        <w:rPr>
          <w:sz w:val="22"/>
          <w:szCs w:val="22"/>
        </w:rPr>
      </w:pPr>
    </w:p>
    <w:p w:rsidR="005B495F" w:rsidRDefault="005B495F" w:rsidP="00A84554">
      <w:pPr>
        <w:jc w:val="both"/>
        <w:outlineLvl w:val="0"/>
        <w:rPr>
          <w:sz w:val="22"/>
          <w:szCs w:val="22"/>
        </w:rPr>
      </w:pPr>
    </w:p>
    <w:p w:rsidR="0052258A" w:rsidRDefault="0052258A" w:rsidP="00A84554">
      <w:pPr>
        <w:jc w:val="both"/>
        <w:outlineLvl w:val="0"/>
        <w:rPr>
          <w:sz w:val="22"/>
          <w:szCs w:val="22"/>
        </w:rPr>
      </w:pPr>
    </w:p>
    <w:p w:rsidR="00A84554" w:rsidRPr="00A84554" w:rsidRDefault="00A84554" w:rsidP="00A84554">
      <w:pPr>
        <w:jc w:val="both"/>
        <w:outlineLvl w:val="0"/>
        <w:rPr>
          <w:b/>
          <w:sz w:val="22"/>
          <w:szCs w:val="22"/>
        </w:rPr>
      </w:pPr>
    </w:p>
    <w:p w:rsidR="00282D00" w:rsidRPr="00906CB0" w:rsidRDefault="00282D00" w:rsidP="00DE6BD7">
      <w:pPr>
        <w:pStyle w:val="Odlomakpopisa"/>
        <w:numPr>
          <w:ilvl w:val="0"/>
          <w:numId w:val="5"/>
        </w:numPr>
        <w:jc w:val="both"/>
        <w:outlineLvl w:val="0"/>
        <w:rPr>
          <w:b/>
          <w:sz w:val="22"/>
          <w:szCs w:val="22"/>
        </w:rPr>
      </w:pPr>
      <w:r w:rsidRPr="00906CB0">
        <w:rPr>
          <w:b/>
          <w:sz w:val="22"/>
          <w:szCs w:val="22"/>
        </w:rPr>
        <w:lastRenderedPageBreak/>
        <w:t>Bilješke uz Izvještaj o prihodima i rashodima – obrazac PR-RAS</w:t>
      </w:r>
    </w:p>
    <w:p w:rsidR="00CB53F1" w:rsidRDefault="00CB53F1" w:rsidP="009F4249">
      <w:pPr>
        <w:jc w:val="both"/>
        <w:outlineLvl w:val="0"/>
        <w:rPr>
          <w:sz w:val="22"/>
          <w:szCs w:val="22"/>
        </w:rPr>
      </w:pPr>
    </w:p>
    <w:p w:rsidR="009F4249" w:rsidRDefault="005B495F" w:rsidP="009F4249">
      <w:pPr>
        <w:jc w:val="both"/>
        <w:outlineLvl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753100" cy="491490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249" w:rsidRDefault="009F4249" w:rsidP="009F4249">
      <w:pPr>
        <w:jc w:val="both"/>
        <w:outlineLvl w:val="0"/>
        <w:rPr>
          <w:sz w:val="22"/>
          <w:szCs w:val="22"/>
        </w:rPr>
      </w:pPr>
    </w:p>
    <w:p w:rsidR="009F4249" w:rsidRPr="00CE7579" w:rsidRDefault="009F4249" w:rsidP="009F4249">
      <w:pPr>
        <w:pStyle w:val="Odlomakpopisa"/>
        <w:numPr>
          <w:ilvl w:val="0"/>
          <w:numId w:val="21"/>
        </w:numPr>
        <w:jc w:val="both"/>
        <w:outlineLvl w:val="0"/>
        <w:rPr>
          <w:b/>
        </w:rPr>
      </w:pPr>
      <w:r w:rsidRPr="00CE7579">
        <w:rPr>
          <w:b/>
        </w:rPr>
        <w:t>PRIHODI POSLOVANJA</w:t>
      </w:r>
      <w:r w:rsidR="00E96184" w:rsidRPr="00CE7579">
        <w:rPr>
          <w:b/>
        </w:rPr>
        <w:t xml:space="preserve"> = </w:t>
      </w:r>
      <w:r w:rsidR="005B495F" w:rsidRPr="00CE7579">
        <w:rPr>
          <w:b/>
        </w:rPr>
        <w:t>2.330.857,12 EUR</w:t>
      </w:r>
    </w:p>
    <w:p w:rsidR="009F4249" w:rsidRPr="00CE7579" w:rsidRDefault="009F4249" w:rsidP="009F4249">
      <w:pPr>
        <w:jc w:val="both"/>
        <w:outlineLvl w:val="0"/>
      </w:pPr>
    </w:p>
    <w:p w:rsidR="005B495F" w:rsidRPr="00CE7579" w:rsidRDefault="005B495F" w:rsidP="009F4249">
      <w:pPr>
        <w:jc w:val="both"/>
        <w:outlineLvl w:val="0"/>
      </w:pPr>
      <w:r w:rsidRPr="00CE7579">
        <w:t>Kod prihoda poslovanja najznačajniji prihod je prihod 63 Pomoći iz inozemstva i od subjekata unutar općeg proračuna te on iznosi 69,67% ukupnih prihoda poslovanja.</w:t>
      </w:r>
      <w:r w:rsidR="00F6371F" w:rsidRPr="00CE7579">
        <w:t xml:space="preserve"> Uspoređujući navedeni prihod u odnosu na prošlu godinu prema indeksu on je veći za 281,6. </w:t>
      </w:r>
    </w:p>
    <w:p w:rsidR="00F6371F" w:rsidRPr="00CE7579" w:rsidRDefault="00F6371F" w:rsidP="009F4249">
      <w:pPr>
        <w:jc w:val="both"/>
        <w:outlineLvl w:val="0"/>
      </w:pPr>
      <w:r w:rsidRPr="00CE7579">
        <w:t xml:space="preserve">U razdoblju od 01.01. do 31.12.2024. godine ostvareni su veći prihodi od poreza na dohodak od nesamostalnog rada u odnosu na prošlu godinu u iznosu od 89.821,05 EUR. Prihod od poreza od nesamostalnog rada drugi je najznačajniji prihod poslovanja. </w:t>
      </w:r>
    </w:p>
    <w:p w:rsidR="00F6371F" w:rsidRPr="00CE7579" w:rsidRDefault="00F6371F" w:rsidP="009F4249">
      <w:pPr>
        <w:jc w:val="both"/>
        <w:outlineLvl w:val="0"/>
      </w:pPr>
      <w:r w:rsidRPr="00CE7579">
        <w:t xml:space="preserve">Za izgradnju matičnog vrtića u </w:t>
      </w:r>
      <w:proofErr w:type="spellStart"/>
      <w:r w:rsidRPr="00CE7579">
        <w:t>Vratišincu</w:t>
      </w:r>
      <w:proofErr w:type="spellEnd"/>
      <w:r w:rsidRPr="00CE7579">
        <w:t xml:space="preserve"> Općina </w:t>
      </w:r>
      <w:proofErr w:type="spellStart"/>
      <w:r w:rsidRPr="00CE7579">
        <w:t>Vratišinec</w:t>
      </w:r>
      <w:proofErr w:type="spellEnd"/>
      <w:r w:rsidRPr="00CE7579">
        <w:t xml:space="preserve"> dobila je sredstva u ukupnom iznosu od 1.200.000,00 EUR (konto 6382). </w:t>
      </w:r>
    </w:p>
    <w:p w:rsidR="00F6371F" w:rsidRPr="00CE7579" w:rsidRDefault="00F6371F" w:rsidP="009F4249">
      <w:pPr>
        <w:jc w:val="both"/>
        <w:outlineLvl w:val="0"/>
      </w:pPr>
      <w:r w:rsidRPr="00CE7579">
        <w:t xml:space="preserve">Nadalje planirani prihod od 360.000,00 EUR za kapitalne pomoći 6342 nije ostvaren jer općina </w:t>
      </w:r>
      <w:proofErr w:type="spellStart"/>
      <w:r w:rsidRPr="00CE7579">
        <w:t>Vratišinec</w:t>
      </w:r>
      <w:proofErr w:type="spellEnd"/>
      <w:r w:rsidRPr="00CE7579">
        <w:t xml:space="preserve"> u 2024. godini nije ostvarila sufinanciranje Županijske uprave za ceste MŽ za izgradnju pješačkih staza u ulici </w:t>
      </w:r>
      <w:proofErr w:type="spellStart"/>
      <w:r w:rsidRPr="00CE7579">
        <w:t>Brodec</w:t>
      </w:r>
      <w:proofErr w:type="spellEnd"/>
      <w:r w:rsidRPr="00CE7579">
        <w:t xml:space="preserve"> i ulici Marof u Gornjem Kraljevcu. </w:t>
      </w:r>
    </w:p>
    <w:p w:rsidR="00F6371F" w:rsidRPr="00CE7579" w:rsidRDefault="00F6371F" w:rsidP="009F4249">
      <w:pPr>
        <w:jc w:val="both"/>
        <w:outlineLvl w:val="0"/>
      </w:pPr>
    </w:p>
    <w:p w:rsidR="005B495F" w:rsidRPr="00CE7579" w:rsidRDefault="00A55881" w:rsidP="009F4249">
      <w:pPr>
        <w:jc w:val="both"/>
        <w:outlineLvl w:val="0"/>
      </w:pPr>
      <w:r w:rsidRPr="00CE7579">
        <w:t xml:space="preserve">U razdoblju od 01.01.2024. do 31.12.2024. godine Općina </w:t>
      </w:r>
      <w:proofErr w:type="spellStart"/>
      <w:r w:rsidRPr="00CE7579">
        <w:t>Vratišinec</w:t>
      </w:r>
      <w:proofErr w:type="spellEnd"/>
      <w:r w:rsidRPr="00CE7579">
        <w:t xml:space="preserve"> ostvarila je 334.080,93 EUR tekućih pomoći iz državnog proračuna, a isti se odnose na fiskalno izravnanje u iznosu od 304.745,05 EUR, 1.612,88 EUR za funkcionalno spajanje JLS – zajedničko komunalno redarstvo i 27.723,00 EUR za fiskalnu održivost vrtića od Ministarstva obrazovanja. Za </w:t>
      </w:r>
      <w:r w:rsidRPr="00CE7579">
        <w:lastRenderedPageBreak/>
        <w:t>dezinfekciju komaraca općina je ostvarila pomoć iz županijskog proračuna u iznosu od 1.917,50 EUR. Ukupno 6331 iznosi: 335.998,43 EUR.</w:t>
      </w:r>
    </w:p>
    <w:p w:rsidR="00050887" w:rsidRPr="00CE7579" w:rsidRDefault="00050887" w:rsidP="009F4249">
      <w:pPr>
        <w:jc w:val="both"/>
        <w:outlineLvl w:val="0"/>
      </w:pPr>
    </w:p>
    <w:p w:rsidR="00050887" w:rsidRPr="00CE7579" w:rsidRDefault="00050887" w:rsidP="009F4249">
      <w:pPr>
        <w:jc w:val="both"/>
        <w:outlineLvl w:val="0"/>
      </w:pPr>
      <w:r w:rsidRPr="00CE7579">
        <w:t xml:space="preserve">Kapitalnih pomoći u izvještajnoj razdoblju ostvarili smo u iznosu od 84.750,63 EUR od čega 14.050,63 od Međimurske županije za sufinanciranje 50% troškova izgradnje Dječjeg igrališta kod PŠ Gornji </w:t>
      </w:r>
      <w:proofErr w:type="spellStart"/>
      <w:r w:rsidRPr="00CE7579">
        <w:t>Kraljevec</w:t>
      </w:r>
      <w:proofErr w:type="spellEnd"/>
      <w:r w:rsidRPr="00CE7579">
        <w:t xml:space="preserve"> i 70.700,00 EUR iz državnog proračuna za projekt Rekonstrukcija LC 20020 i izgradnja pješačke staze u Gornjem Kraljevcu. Sredstva su dobivena od Ministarstva regionalnog razvoja i fondova EU i Ministarstva prostornoga uređenja, graditeljstva i državne imovine. </w:t>
      </w:r>
    </w:p>
    <w:p w:rsidR="00050887" w:rsidRPr="00CE7579" w:rsidRDefault="00050887" w:rsidP="009F4249">
      <w:pPr>
        <w:jc w:val="both"/>
        <w:outlineLvl w:val="0"/>
      </w:pPr>
    </w:p>
    <w:p w:rsidR="00050887" w:rsidRPr="00CE7579" w:rsidRDefault="00050887" w:rsidP="009F4249">
      <w:pPr>
        <w:jc w:val="both"/>
        <w:outlineLvl w:val="0"/>
      </w:pPr>
      <w:r w:rsidRPr="00CE7579">
        <w:t xml:space="preserve">Prihodi od imovine povećali su se u odnosu na prethodnu godinu za 14.928,69 EUR, a ponajviše zbog isplaćene dobiti Međimurje plina d.o.o. koja je iznosila 24.000,00 EUR, a u prethodnoj godini 5.308,91 EUR. Naknada za dimnjačarsku koncesiju je manja iz razloga što je 30.06.2024. godine Općina </w:t>
      </w:r>
      <w:proofErr w:type="spellStart"/>
      <w:r w:rsidRPr="00CE7579">
        <w:t>Vratišinec</w:t>
      </w:r>
      <w:proofErr w:type="spellEnd"/>
      <w:r w:rsidRPr="00CE7579">
        <w:t xml:space="preserve"> sklopila Sporazum o raskidu Ugovora o koncesiji zbog zatvaranja Dimnjačarskog obrta Z. </w:t>
      </w:r>
      <w:proofErr w:type="spellStart"/>
      <w:r w:rsidRPr="00CE7579">
        <w:t>Zver</w:t>
      </w:r>
      <w:proofErr w:type="spellEnd"/>
      <w:r w:rsidRPr="00CE7579">
        <w:t xml:space="preserve"> koji je obrt zatvorio zbog odlaska u mirovinu. Novi natječaj za koncesiju objavljen je rujnu 2024. godine. </w:t>
      </w:r>
    </w:p>
    <w:p w:rsidR="00050887" w:rsidRPr="00CE7579" w:rsidRDefault="00050887" w:rsidP="009F4249">
      <w:pPr>
        <w:jc w:val="both"/>
        <w:outlineLvl w:val="0"/>
      </w:pPr>
    </w:p>
    <w:p w:rsidR="004E4060" w:rsidRPr="00CE7579" w:rsidRDefault="00050887" w:rsidP="009F4249">
      <w:pPr>
        <w:jc w:val="both"/>
        <w:outlineLvl w:val="0"/>
      </w:pPr>
      <w:r w:rsidRPr="00CE7579">
        <w:t xml:space="preserve">Komunalna naknada i doprinosi u 2024. godini veći su od 2023. godine, a sve zbog znatnog povećanja komunalnog doprinosa. Sva potraživanja za komunalni doprinos su podmirena te je općina uprihodila 12.763,56 EUR, dok je u 2023. godini uprihodila tek 2.734,92 EUR. </w:t>
      </w:r>
      <w:r w:rsidR="004E4060" w:rsidRPr="00CE7579">
        <w:t>U 2024. godini nije naplaćena niti jedna kazna komunalnog redara – konto 681.</w:t>
      </w:r>
    </w:p>
    <w:p w:rsidR="005B495F" w:rsidRPr="00CE7579" w:rsidRDefault="005B495F" w:rsidP="009F4249">
      <w:pPr>
        <w:jc w:val="both"/>
        <w:outlineLvl w:val="0"/>
      </w:pPr>
    </w:p>
    <w:p w:rsidR="00D37E29" w:rsidRPr="00CE7579" w:rsidRDefault="004E4060" w:rsidP="00D37E29">
      <w:pPr>
        <w:jc w:val="both"/>
        <w:outlineLvl w:val="0"/>
      </w:pPr>
      <w:r w:rsidRPr="00CE7579">
        <w:t xml:space="preserve">Općina </w:t>
      </w:r>
      <w:proofErr w:type="spellStart"/>
      <w:r w:rsidRPr="00CE7579">
        <w:t>Vratišinec</w:t>
      </w:r>
      <w:proofErr w:type="spellEnd"/>
      <w:r w:rsidRPr="00CE7579">
        <w:t xml:space="preserve"> planirala je od zakupa poljoprivrednog zemljišta uprihoditi 44.000,00 EUR, no samo je ostvareno 6.038,35 EUR. Razlog tome jer smo u 2024. godini namjeravali raspisati Natječaj za poljoprivredno zemljište u </w:t>
      </w:r>
      <w:proofErr w:type="spellStart"/>
      <w:r w:rsidRPr="00CE7579">
        <w:t>vl</w:t>
      </w:r>
      <w:proofErr w:type="spellEnd"/>
      <w:r w:rsidRPr="00CE7579">
        <w:t xml:space="preserve">. RH, ali nažalost nismo uspjeli završiti s natječajem. </w:t>
      </w:r>
    </w:p>
    <w:p w:rsidR="004E4060" w:rsidRPr="00CE7579" w:rsidRDefault="004E4060" w:rsidP="00D37E29">
      <w:pPr>
        <w:jc w:val="both"/>
        <w:outlineLvl w:val="0"/>
      </w:pPr>
    </w:p>
    <w:p w:rsidR="004E4060" w:rsidRPr="00CE7579" w:rsidRDefault="004E4060" w:rsidP="00D37E29">
      <w:pPr>
        <w:jc w:val="both"/>
        <w:outlineLvl w:val="0"/>
      </w:pPr>
    </w:p>
    <w:p w:rsidR="00D37E29" w:rsidRPr="00B52980" w:rsidRDefault="00D37E29" w:rsidP="00D37E29">
      <w:pPr>
        <w:pStyle w:val="Odlomakpopisa"/>
        <w:numPr>
          <w:ilvl w:val="0"/>
          <w:numId w:val="21"/>
        </w:numPr>
        <w:jc w:val="both"/>
        <w:outlineLvl w:val="0"/>
        <w:rPr>
          <w:b/>
        </w:rPr>
      </w:pPr>
      <w:r w:rsidRPr="00B52980">
        <w:rPr>
          <w:b/>
        </w:rPr>
        <w:t>PRIHODI OD PRODAJE NEFINANCIJSKE IMOVINE</w:t>
      </w:r>
      <w:r w:rsidR="00E96184" w:rsidRPr="00B52980">
        <w:rPr>
          <w:b/>
        </w:rPr>
        <w:t xml:space="preserve"> = </w:t>
      </w:r>
      <w:r w:rsidR="00CE7579" w:rsidRPr="00B52980">
        <w:rPr>
          <w:b/>
        </w:rPr>
        <w:t>57.754,74 EUR</w:t>
      </w:r>
    </w:p>
    <w:p w:rsidR="00D37E29" w:rsidRPr="00B52980" w:rsidRDefault="00D37E29" w:rsidP="00D37E29">
      <w:pPr>
        <w:jc w:val="both"/>
        <w:outlineLvl w:val="0"/>
      </w:pPr>
    </w:p>
    <w:p w:rsidR="00CE7579" w:rsidRPr="00B52980" w:rsidRDefault="00CE7579" w:rsidP="00CE7579">
      <w:pPr>
        <w:tabs>
          <w:tab w:val="left" w:pos="567"/>
        </w:tabs>
        <w:jc w:val="both"/>
      </w:pPr>
      <w:r w:rsidRPr="00B52980">
        <w:t xml:space="preserve">U 2024. godini Općina </w:t>
      </w:r>
      <w:proofErr w:type="spellStart"/>
      <w:r w:rsidRPr="00B52980">
        <w:t>Vratišinec</w:t>
      </w:r>
      <w:proofErr w:type="spellEnd"/>
      <w:r w:rsidRPr="00B52980">
        <w:t xml:space="preserve"> ostvarila je prihod s osnove prodaje građevinskog zemljišta po javnom natječaju za prodaju nekretnina u vlasništvu općine </w:t>
      </w:r>
      <w:proofErr w:type="spellStart"/>
      <w:r w:rsidRPr="00B52980">
        <w:t>Vratišinec</w:t>
      </w:r>
      <w:proofErr w:type="spellEnd"/>
      <w:r w:rsidRPr="00B52980">
        <w:t>.</w:t>
      </w:r>
      <w:r w:rsidRPr="00B52980">
        <w:rPr>
          <w:b/>
        </w:rPr>
        <w:t xml:space="preserve"> </w:t>
      </w:r>
      <w:r w:rsidRPr="00B52980">
        <w:t xml:space="preserve">Nekretnine kč.br. 869, 873, 870, 872 i 871 k.o. </w:t>
      </w:r>
      <w:proofErr w:type="spellStart"/>
      <w:r w:rsidRPr="00B52980">
        <w:t>Vratišinec</w:t>
      </w:r>
      <w:proofErr w:type="spellEnd"/>
      <w:r w:rsidRPr="00B52980">
        <w:t xml:space="preserve"> prodane su jedinom ponuditelju Mega-drvo d.o.o. u iznosu od 56.500,00 EUR (šifra 7111). Šifra 7211 u iznosu 1.254,74 EUR, a odnosi se na sredstva po otkupu stanova gdje se onda 55% od iznosa uplaćuje u državni proračun. </w:t>
      </w:r>
    </w:p>
    <w:p w:rsidR="00E96184" w:rsidRPr="00B52980" w:rsidRDefault="00E96184" w:rsidP="00D37E29">
      <w:pPr>
        <w:jc w:val="both"/>
        <w:outlineLvl w:val="0"/>
      </w:pPr>
    </w:p>
    <w:p w:rsidR="006123CE" w:rsidRPr="00B52980" w:rsidRDefault="006123CE" w:rsidP="00D37E29">
      <w:pPr>
        <w:jc w:val="both"/>
        <w:outlineLvl w:val="0"/>
      </w:pPr>
    </w:p>
    <w:p w:rsidR="006123CE" w:rsidRPr="00B52980" w:rsidRDefault="006123CE" w:rsidP="006123CE">
      <w:pPr>
        <w:pStyle w:val="Odlomakpopisa"/>
        <w:numPr>
          <w:ilvl w:val="0"/>
          <w:numId w:val="21"/>
        </w:numPr>
        <w:jc w:val="both"/>
        <w:outlineLvl w:val="0"/>
        <w:rPr>
          <w:b/>
        </w:rPr>
      </w:pPr>
      <w:r w:rsidRPr="00B52980">
        <w:rPr>
          <w:b/>
        </w:rPr>
        <w:t>RASHODI POSLOVANJA</w:t>
      </w:r>
      <w:r w:rsidR="00E96184" w:rsidRPr="00B52980">
        <w:rPr>
          <w:b/>
        </w:rPr>
        <w:t xml:space="preserve"> = </w:t>
      </w:r>
      <w:r w:rsidR="00CE7579" w:rsidRPr="00B52980">
        <w:rPr>
          <w:b/>
        </w:rPr>
        <w:t>661.980,22 EUR</w:t>
      </w:r>
    </w:p>
    <w:p w:rsidR="00CE7579" w:rsidRPr="00B52980" w:rsidRDefault="00CE7579" w:rsidP="00CE7579">
      <w:pPr>
        <w:jc w:val="both"/>
        <w:outlineLvl w:val="0"/>
        <w:rPr>
          <w:b/>
        </w:rPr>
      </w:pPr>
    </w:p>
    <w:p w:rsidR="00035A0E" w:rsidRPr="00B52980" w:rsidRDefault="00035A0E" w:rsidP="00CE7579">
      <w:pPr>
        <w:jc w:val="both"/>
        <w:outlineLvl w:val="0"/>
      </w:pPr>
      <w:r w:rsidRPr="00B52980">
        <w:t xml:space="preserve">Rashodi za zaposlene iznose ukupno 96.309,65 EUR, od čega točnije bruto plaća i plaća za prekovremeni rad djelatnika i bruto plaća načelnika 75.919,41 EUR, ostali rashodi za zaposlene 7.863,52 EUR (božićnica 1.400,00 EUR, darovi za djecu 700,00 EUR, regres za godišnji 700,00 EUR, prehrana radnika – službenici, namještenica i načelnik – 4.363,52 EUR. Doprinosi za zdravstveno osiguranje u izvještajnom razdoblju iznose 12.526,72 EUR. U odnosu na 2023. godinu svi ovi rashodi su veći, jer u 2024. godini se zaposlio pročelnik, u 2024. godini povećala se plaća službenicima, odlukom vlade plaća načelnika, a i tokom 2024. godine nije bilo toliko bolovanja službenika i namještenika. Kod prekovremenog rada također povećanje jer namještenica obavlja čišćenje mrtvačnice na mjesnom groblju u </w:t>
      </w:r>
      <w:proofErr w:type="spellStart"/>
      <w:r w:rsidRPr="00B52980">
        <w:t>Vratišincu</w:t>
      </w:r>
      <w:proofErr w:type="spellEnd"/>
      <w:r w:rsidRPr="00B52980">
        <w:t xml:space="preserve"> za svaki ukop van svog radnog vremena.</w:t>
      </w:r>
    </w:p>
    <w:p w:rsidR="00035A0E" w:rsidRPr="00B52980" w:rsidRDefault="00035A0E" w:rsidP="00CE7579">
      <w:pPr>
        <w:jc w:val="both"/>
        <w:outlineLvl w:val="0"/>
      </w:pPr>
    </w:p>
    <w:p w:rsidR="00CE7579" w:rsidRPr="00B52980" w:rsidRDefault="00CE7579" w:rsidP="00CE7579">
      <w:pPr>
        <w:jc w:val="both"/>
        <w:outlineLvl w:val="0"/>
      </w:pPr>
      <w:r w:rsidRPr="00B52980">
        <w:lastRenderedPageBreak/>
        <w:t xml:space="preserve">Materijalni rashodi čine najznačajniji rashod u rashodima poslovanja odnosno čine </w:t>
      </w:r>
      <w:r w:rsidR="00035A0E" w:rsidRPr="00B52980">
        <w:t xml:space="preserve">40,80% ukupnih rashoda poslovanja. </w:t>
      </w:r>
    </w:p>
    <w:p w:rsidR="00C474A5" w:rsidRPr="00B52980" w:rsidRDefault="00C474A5" w:rsidP="000B0974">
      <w:pPr>
        <w:jc w:val="both"/>
        <w:outlineLvl w:val="0"/>
      </w:pPr>
    </w:p>
    <w:p w:rsidR="00C474A5" w:rsidRPr="00B52980" w:rsidRDefault="00C474A5" w:rsidP="000B0974">
      <w:pPr>
        <w:jc w:val="both"/>
        <w:outlineLvl w:val="0"/>
      </w:pPr>
      <w:r w:rsidRPr="00B52980">
        <w:t>3211 Službena putovanja –</w:t>
      </w:r>
      <w:r w:rsidR="005E3F0F" w:rsidRPr="00B52980">
        <w:t xml:space="preserve"> trošak od </w:t>
      </w:r>
      <w:r w:rsidR="005445D4" w:rsidRPr="00B52980">
        <w:t>280,80</w:t>
      </w:r>
      <w:r w:rsidR="005E3F0F" w:rsidRPr="00B52980">
        <w:t xml:space="preserve"> </w:t>
      </w:r>
      <w:r w:rsidR="005445D4" w:rsidRPr="00B52980">
        <w:t>EUR obuhvaća 2</w:t>
      </w:r>
      <w:r w:rsidRPr="00B52980">
        <w:t xml:space="preserve"> putna naloga </w:t>
      </w:r>
      <w:r w:rsidR="005445D4" w:rsidRPr="00B52980">
        <w:t xml:space="preserve">načelnika za posjet u Zagreb i 1 pročelnice na seminar. </w:t>
      </w:r>
    </w:p>
    <w:p w:rsidR="00615ABD" w:rsidRPr="00B52980" w:rsidRDefault="00615ABD" w:rsidP="000B0974">
      <w:pPr>
        <w:jc w:val="both"/>
        <w:outlineLvl w:val="0"/>
      </w:pPr>
    </w:p>
    <w:p w:rsidR="00615ABD" w:rsidRPr="00B52980" w:rsidRDefault="00615ABD" w:rsidP="000B0974">
      <w:pPr>
        <w:jc w:val="both"/>
        <w:outlineLvl w:val="0"/>
      </w:pPr>
      <w:r w:rsidRPr="00B52980">
        <w:t xml:space="preserve">3212 – Naknada za prijevoz na posao i s posla </w:t>
      </w:r>
      <w:r w:rsidR="005445D4" w:rsidRPr="00B52980">
        <w:t xml:space="preserve">iznosi 5.319,77 EUR. U odnosu na 2023. godinu oni su manji jer je 2023. godini općina ima zaposlenu osobu iz mjesta </w:t>
      </w:r>
      <w:proofErr w:type="spellStart"/>
      <w:r w:rsidR="005445D4" w:rsidRPr="00B52980">
        <w:t>Podbrest</w:t>
      </w:r>
      <w:proofErr w:type="spellEnd"/>
      <w:r w:rsidR="005445D4" w:rsidRPr="00B52980">
        <w:t xml:space="preserve">. U 2024. godini najprije je imala na to radno mjesto zaposlenu osobu iz Čakovca, a od rujna 2024. godine osoba je s područja općine, pa stoga putni trošak po istima manji u odnosu na udaljenost </w:t>
      </w:r>
      <w:proofErr w:type="spellStart"/>
      <w:r w:rsidR="005445D4" w:rsidRPr="00B52980">
        <w:t>Vratišinec-Podbrest</w:t>
      </w:r>
      <w:proofErr w:type="spellEnd"/>
      <w:r w:rsidR="005445D4" w:rsidRPr="00B52980">
        <w:t>.</w:t>
      </w:r>
    </w:p>
    <w:p w:rsidR="005445D4" w:rsidRPr="00B52980" w:rsidRDefault="005445D4" w:rsidP="000B0974">
      <w:pPr>
        <w:jc w:val="both"/>
        <w:outlineLvl w:val="0"/>
      </w:pPr>
    </w:p>
    <w:p w:rsidR="005445D4" w:rsidRPr="00B52980" w:rsidRDefault="005445D4" w:rsidP="000B0974">
      <w:pPr>
        <w:jc w:val="both"/>
        <w:outlineLvl w:val="0"/>
      </w:pPr>
      <w:r w:rsidRPr="00B52980">
        <w:t xml:space="preserve">3213 – seminari u iznosu od 842,75 EUR, a odnosi se na seminar računovodstvene djelatnice i pročelnice u Čakovcu i na izobrazbu pročelnice iz područja javne nabave koja je u 2025. uspješno stekla certifikat iz javne nabave. </w:t>
      </w:r>
    </w:p>
    <w:p w:rsidR="005445D4" w:rsidRPr="00B52980" w:rsidRDefault="005445D4" w:rsidP="000B0974">
      <w:pPr>
        <w:jc w:val="both"/>
        <w:outlineLvl w:val="0"/>
      </w:pPr>
    </w:p>
    <w:p w:rsidR="00615ABD" w:rsidRPr="00B52980" w:rsidRDefault="00615ABD" w:rsidP="000B0974">
      <w:pPr>
        <w:jc w:val="both"/>
        <w:outlineLvl w:val="0"/>
      </w:pPr>
      <w:r w:rsidRPr="00B52980">
        <w:t>3214 odnosi se na naknadu za ko</w:t>
      </w:r>
      <w:r w:rsidR="00390368" w:rsidRPr="00B52980">
        <w:t>rištenje automobila u sl. svrhe, a utrošeno je 2.127,00 EUR.</w:t>
      </w:r>
    </w:p>
    <w:p w:rsidR="005E3F0F" w:rsidRPr="00B52980" w:rsidRDefault="005E3F0F" w:rsidP="000B0974">
      <w:pPr>
        <w:jc w:val="both"/>
        <w:outlineLvl w:val="0"/>
      </w:pPr>
    </w:p>
    <w:p w:rsidR="005E3F0F" w:rsidRPr="00B52980" w:rsidRDefault="00390368" w:rsidP="000B0974">
      <w:pPr>
        <w:jc w:val="both"/>
        <w:outlineLvl w:val="0"/>
      </w:pPr>
      <w:r w:rsidRPr="00B52980">
        <w:t xml:space="preserve">Usluge tekućeg i investicijskog održavanja povećale su se u odnosu na prethodnu godinu, najviše zbog usluge rušenja starih grobova s mjesnog groblja što je trošak iznosio 7.437,50 EUR. Nadalje kuhinja doma kulture u </w:t>
      </w:r>
      <w:proofErr w:type="spellStart"/>
      <w:r w:rsidRPr="00B52980">
        <w:t>Vratišincu</w:t>
      </w:r>
      <w:proofErr w:type="spellEnd"/>
      <w:r w:rsidRPr="00B52980">
        <w:t xml:space="preserve"> je uslijed nevremena počela prokišnjavati pa je trebalo sanirati krovište kuhinje Doma kulture za što je utrošeno 3.775,49 EUR. Također na zgradi općine i doma zamijenili su se žlijebovi. Za održavanje dječjeg igrališta </w:t>
      </w:r>
      <w:proofErr w:type="spellStart"/>
      <w:r w:rsidRPr="00B52980">
        <w:t>Brodec</w:t>
      </w:r>
      <w:proofErr w:type="spellEnd"/>
      <w:r w:rsidRPr="00B52980">
        <w:t xml:space="preserve"> postavljena je umjetna trava u iznosu od 3.247, 06 EUR. </w:t>
      </w:r>
    </w:p>
    <w:p w:rsidR="00387536" w:rsidRPr="00B52980" w:rsidRDefault="00387536" w:rsidP="000B0974">
      <w:pPr>
        <w:jc w:val="both"/>
        <w:outlineLvl w:val="0"/>
      </w:pPr>
    </w:p>
    <w:p w:rsidR="00387536" w:rsidRPr="00B52980" w:rsidRDefault="00387536" w:rsidP="000B0974">
      <w:pPr>
        <w:jc w:val="both"/>
        <w:outlineLvl w:val="0"/>
      </w:pPr>
      <w:r w:rsidRPr="00B52980">
        <w:t xml:space="preserve">Usluge promidžbe i informiranja su se povećale iz razloga jer je podignut cenzus elektroničkih medija, zatim objavilo se puno više objava u NN za postupke javne nabave, koncesiju, a u 2024. godini u NN objavili su se i 3 javni natječaji od čega 2 za pročelnika i 1 za pomoćnog radnika. </w:t>
      </w:r>
    </w:p>
    <w:p w:rsidR="00387536" w:rsidRPr="00B52980" w:rsidRDefault="00387536" w:rsidP="000B0974">
      <w:pPr>
        <w:jc w:val="both"/>
        <w:outlineLvl w:val="0"/>
      </w:pPr>
    </w:p>
    <w:p w:rsidR="00387536" w:rsidRPr="00B52980" w:rsidRDefault="00387536" w:rsidP="000B0974">
      <w:pPr>
        <w:jc w:val="both"/>
        <w:outlineLvl w:val="0"/>
      </w:pPr>
      <w:r w:rsidRPr="00B52980">
        <w:t xml:space="preserve">3237 Intelektualne i osobne usluge smanjile su se iz razloga jer je u 2023. godini, a i ranije se npr. stručni nadzor knjižio na navedeni konto, što nije ispravno, a sada se stručni nadzor knjiži uz investiciju. </w:t>
      </w:r>
    </w:p>
    <w:p w:rsidR="00E548D7" w:rsidRPr="00B52980" w:rsidRDefault="00E548D7" w:rsidP="000B0974">
      <w:pPr>
        <w:jc w:val="both"/>
        <w:outlineLvl w:val="0"/>
      </w:pPr>
    </w:p>
    <w:p w:rsidR="00092FC9" w:rsidRPr="00B52980" w:rsidRDefault="00E548D7" w:rsidP="000B0974">
      <w:pPr>
        <w:jc w:val="both"/>
        <w:outlineLvl w:val="0"/>
      </w:pPr>
      <w:r w:rsidRPr="00B52980">
        <w:t xml:space="preserve">Troškovi reprezentacije su se povećali jer su se Dani općine </w:t>
      </w:r>
      <w:proofErr w:type="spellStart"/>
      <w:r w:rsidRPr="00B52980">
        <w:t>Vratišinec</w:t>
      </w:r>
      <w:proofErr w:type="spellEnd"/>
      <w:r w:rsidRPr="00B52980">
        <w:t xml:space="preserve"> slavili 2 dana uz dva važna glazbenika. Ostali rashodi poslovanja veći jer se od 2024. na navedeni konto knjiži naplata 1 i 5% prihoda, a prije se je na 3434. Naknade za rad vijeća, radnih tijela također su se povećali jer je napravljeno više obračuna, a i naknade su se podigle. </w:t>
      </w:r>
    </w:p>
    <w:p w:rsidR="00E548D7" w:rsidRPr="00B52980" w:rsidRDefault="00E548D7" w:rsidP="000B0974">
      <w:pPr>
        <w:jc w:val="both"/>
        <w:outlineLvl w:val="0"/>
      </w:pPr>
    </w:p>
    <w:p w:rsidR="00E548D7" w:rsidRPr="00B52980" w:rsidRDefault="00E548D7" w:rsidP="00E548D7">
      <w:pPr>
        <w:jc w:val="both"/>
        <w:outlineLvl w:val="0"/>
      </w:pPr>
      <w:r w:rsidRPr="00B52980">
        <w:t xml:space="preserve">3434 povećanje zbog isplate 6.800,00 EUR bivšim vlasnicima DV Srčeko kojeg je Općina </w:t>
      </w:r>
      <w:proofErr w:type="spellStart"/>
      <w:r w:rsidRPr="00B52980">
        <w:t>Vratišinec</w:t>
      </w:r>
      <w:proofErr w:type="spellEnd"/>
      <w:r w:rsidRPr="00B52980">
        <w:t xml:space="preserve"> kupila od fizičkih osoba koje su bile vlasnice.</w:t>
      </w:r>
    </w:p>
    <w:p w:rsidR="00E548D7" w:rsidRPr="00B52980" w:rsidRDefault="00E548D7" w:rsidP="000B0974">
      <w:pPr>
        <w:jc w:val="both"/>
        <w:outlineLvl w:val="0"/>
      </w:pPr>
    </w:p>
    <w:p w:rsidR="00E548D7" w:rsidRPr="00B52980" w:rsidRDefault="00E548D7" w:rsidP="000B0974">
      <w:pPr>
        <w:jc w:val="both"/>
        <w:outlineLvl w:val="0"/>
      </w:pPr>
      <w:r w:rsidRPr="00B52980">
        <w:t>3512 u iznosu od 40.982,27 EUR odnosi se na sufinanciranje privatnih vrtića. Prije se knjižilo sve na 3811, dok se u 2024. godini teretio pravilan konto računskog plana.</w:t>
      </w:r>
    </w:p>
    <w:p w:rsidR="00E548D7" w:rsidRPr="00B52980" w:rsidRDefault="00E548D7" w:rsidP="000B0974">
      <w:pPr>
        <w:jc w:val="both"/>
        <w:outlineLvl w:val="0"/>
      </w:pPr>
    </w:p>
    <w:p w:rsidR="00E548D7" w:rsidRPr="00B52980" w:rsidRDefault="00E548D7" w:rsidP="000B0974">
      <w:pPr>
        <w:jc w:val="both"/>
        <w:outlineLvl w:val="0"/>
      </w:pPr>
      <w:r w:rsidRPr="00B52980">
        <w:t>Međimurskoj županiji isplaćeno je 1.040,00EUR za sufinanciranje troškova prijevoza učenika na temelju potpisanog sporazuma, a za rad TZP Mura i gorice iznos od 3.609,74 EUR (šifra 3631).</w:t>
      </w:r>
    </w:p>
    <w:p w:rsidR="001328CD" w:rsidRPr="00B52980" w:rsidRDefault="001328CD" w:rsidP="000B0974">
      <w:pPr>
        <w:jc w:val="both"/>
        <w:outlineLvl w:val="0"/>
      </w:pPr>
    </w:p>
    <w:p w:rsidR="001328CD" w:rsidRPr="00B52980" w:rsidRDefault="001328CD" w:rsidP="000B0974">
      <w:pPr>
        <w:jc w:val="both"/>
        <w:outlineLvl w:val="0"/>
      </w:pPr>
      <w:r w:rsidRPr="00B52980">
        <w:lastRenderedPageBreak/>
        <w:t xml:space="preserve">3661 – sufinanciranje javnih vrtića po prijašnjoj odluci u iznosu od 20.168,42 EUR. Za </w:t>
      </w:r>
      <w:proofErr w:type="spellStart"/>
      <w:r w:rsidRPr="00B52980">
        <w:t>sufinciranje</w:t>
      </w:r>
      <w:proofErr w:type="spellEnd"/>
      <w:r w:rsidRPr="00B52980">
        <w:t xml:space="preserve"> pomoćnika u nastavi OŠ </w:t>
      </w:r>
      <w:proofErr w:type="spellStart"/>
      <w:r w:rsidRPr="00B52980">
        <w:t>Vratišinec</w:t>
      </w:r>
      <w:proofErr w:type="spellEnd"/>
      <w:r w:rsidRPr="00B52980">
        <w:t xml:space="preserve"> izdvojeno 1.093,57 EUR, </w:t>
      </w:r>
      <w:r w:rsidR="006E05F5" w:rsidRPr="00B52980">
        <w:t>za JVP Čakovec izdvojeno je ukupno 12.342,58 EUR. Navedeni rashod se prijašnjih godina knjižio na 3811.</w:t>
      </w:r>
    </w:p>
    <w:p w:rsidR="00C21483" w:rsidRPr="00B52980" w:rsidRDefault="00C21483" w:rsidP="000B0974">
      <w:pPr>
        <w:jc w:val="both"/>
        <w:outlineLvl w:val="0"/>
      </w:pPr>
    </w:p>
    <w:p w:rsidR="001328CD" w:rsidRPr="00B52980" w:rsidRDefault="001328CD" w:rsidP="001328CD">
      <w:pPr>
        <w:jc w:val="both"/>
        <w:outlineLvl w:val="0"/>
      </w:pPr>
      <w:r w:rsidRPr="00B52980">
        <w:t xml:space="preserve">367 – za dječji vrtić Srčeko čiji smo vlasnici od srpnja 2024. godine isplaćeno je 37.051,32 EUR za financiranje rashoda poslovanja i 4.605,00 EUR za financiranje nabavke nefinancijske imovine. U 2023. godini nismo imali proračunskog korisnika. </w:t>
      </w:r>
    </w:p>
    <w:p w:rsidR="00C21483" w:rsidRPr="00B52980" w:rsidRDefault="00C21483" w:rsidP="000B0974">
      <w:pPr>
        <w:jc w:val="both"/>
        <w:outlineLvl w:val="0"/>
      </w:pPr>
    </w:p>
    <w:p w:rsidR="00C21483" w:rsidRPr="00B52980" w:rsidRDefault="006E05F5" w:rsidP="000B0974">
      <w:pPr>
        <w:jc w:val="both"/>
        <w:outlineLvl w:val="0"/>
      </w:pPr>
      <w:r w:rsidRPr="00B52980">
        <w:t>372 – kako se digao cenzus za dodjelu Božićnica povećao se iznos naknada građanima, pa je stoga iznos veći u usporedbi s 2023. godinom.</w:t>
      </w:r>
    </w:p>
    <w:p w:rsidR="006E05F5" w:rsidRPr="00B52980" w:rsidRDefault="006E05F5" w:rsidP="000B0974">
      <w:pPr>
        <w:jc w:val="both"/>
        <w:outlineLvl w:val="0"/>
      </w:pPr>
    </w:p>
    <w:p w:rsidR="006E05F5" w:rsidRPr="00B52980" w:rsidRDefault="006E05F5" w:rsidP="00EA7DC1">
      <w:pPr>
        <w:jc w:val="both"/>
        <w:outlineLvl w:val="0"/>
      </w:pPr>
      <w:r w:rsidRPr="00B52980">
        <w:t>38 smanjenje jer se puno rashoda koji su se knjižili na navedeni konto u 2024. godini počeli knjižiti na ispravna konta računskog plana.</w:t>
      </w:r>
    </w:p>
    <w:p w:rsidR="006E05F5" w:rsidRPr="00B52980" w:rsidRDefault="006E05F5" w:rsidP="00EA7DC1">
      <w:pPr>
        <w:jc w:val="both"/>
        <w:outlineLvl w:val="0"/>
      </w:pPr>
    </w:p>
    <w:p w:rsidR="00EA7DC1" w:rsidRPr="00B52980" w:rsidRDefault="00EA7DC1" w:rsidP="00EA7DC1">
      <w:pPr>
        <w:pStyle w:val="Odlomakpopisa"/>
        <w:numPr>
          <w:ilvl w:val="0"/>
          <w:numId w:val="21"/>
        </w:numPr>
        <w:jc w:val="both"/>
        <w:outlineLvl w:val="0"/>
        <w:rPr>
          <w:b/>
        </w:rPr>
      </w:pPr>
      <w:r w:rsidRPr="00B52980">
        <w:rPr>
          <w:b/>
        </w:rPr>
        <w:t xml:space="preserve">RASHODI ZA NABAVU NEFINANCIJSKE IMOVINE = </w:t>
      </w:r>
      <w:r w:rsidR="006E05F5" w:rsidRPr="00B52980">
        <w:rPr>
          <w:b/>
        </w:rPr>
        <w:t>1.893.764,77 EUR</w:t>
      </w:r>
    </w:p>
    <w:p w:rsidR="00EA7DC1" w:rsidRPr="00B52980" w:rsidRDefault="00EA7DC1" w:rsidP="00EA7DC1">
      <w:pPr>
        <w:jc w:val="both"/>
        <w:outlineLvl w:val="0"/>
      </w:pPr>
    </w:p>
    <w:p w:rsidR="00410743" w:rsidRPr="00B52980" w:rsidRDefault="00410743" w:rsidP="000B0974">
      <w:pPr>
        <w:jc w:val="both"/>
        <w:outlineLvl w:val="0"/>
      </w:pPr>
    </w:p>
    <w:p w:rsidR="006E05F5" w:rsidRPr="00B52980" w:rsidRDefault="006E05F5" w:rsidP="000B0974">
      <w:pPr>
        <w:jc w:val="both"/>
        <w:outlineLvl w:val="0"/>
      </w:pPr>
      <w:r w:rsidRPr="00B52980">
        <w:t xml:space="preserve">Rashodi za nabavku nefinancijske imovine iznose 1.893.764,77 EUR, a najveći udio u izvršenju zauzima izgradnja matičnog vrtića u 1.458.344,33 EUR odnosno </w:t>
      </w:r>
      <w:r w:rsidR="00436662" w:rsidRPr="00B52980">
        <w:t xml:space="preserve">77%. Matični vrtić izgradio se sredstvima EU  - NPOO, dodatnim sredstvima Ministarstva obrazovanja – 1.200.000,00 EUR i sredstvima iz proračuna 258.344,33 EUR. </w:t>
      </w:r>
    </w:p>
    <w:p w:rsidR="00436662" w:rsidRPr="00B52980" w:rsidRDefault="00436662" w:rsidP="000B0974">
      <w:pPr>
        <w:jc w:val="both"/>
        <w:outlineLvl w:val="0"/>
      </w:pPr>
      <w:r w:rsidRPr="00B52980">
        <w:t>Za radove na fasadi Stan – Školska ulica 2 utrošeno je 5.434,22 EUR, prema sklopljenom ugovoru.</w:t>
      </w:r>
    </w:p>
    <w:p w:rsidR="00436662" w:rsidRPr="00B52980" w:rsidRDefault="00436662" w:rsidP="000B0974">
      <w:pPr>
        <w:jc w:val="both"/>
        <w:outlineLvl w:val="0"/>
      </w:pPr>
      <w:r w:rsidRPr="00B52980">
        <w:t xml:space="preserve">Za ceste je u 2024. godini utrošeno 121.343,91 EUR, a odnosi se na radove u Školskoj ulici koja je završena, početak radova na LC20020 i izgradnja PS u Gornjem Kraljevcu i LC20019 u ulici </w:t>
      </w:r>
      <w:proofErr w:type="spellStart"/>
      <w:r w:rsidRPr="00B52980">
        <w:t>Brodec</w:t>
      </w:r>
      <w:proofErr w:type="spellEnd"/>
      <w:r w:rsidRPr="00B52980">
        <w:t>.</w:t>
      </w:r>
    </w:p>
    <w:p w:rsidR="00436662" w:rsidRPr="00B52980" w:rsidRDefault="00436662" w:rsidP="000B0974">
      <w:pPr>
        <w:jc w:val="both"/>
        <w:outlineLvl w:val="0"/>
      </w:pPr>
      <w:r w:rsidRPr="00B52980">
        <w:t xml:space="preserve">Završni radovi na uređenju centra naselja </w:t>
      </w:r>
      <w:proofErr w:type="spellStart"/>
      <w:r w:rsidRPr="00B52980">
        <w:t>Vratišinec</w:t>
      </w:r>
      <w:proofErr w:type="spellEnd"/>
      <w:r w:rsidRPr="00B52980">
        <w:t>- trg 2.faza iznosili su 77.938,23 EUR.</w:t>
      </w:r>
    </w:p>
    <w:p w:rsidR="00436662" w:rsidRPr="00B52980" w:rsidRDefault="00436662" w:rsidP="000B0974">
      <w:pPr>
        <w:jc w:val="both"/>
        <w:outlineLvl w:val="0"/>
      </w:pPr>
      <w:r w:rsidRPr="00B52980">
        <w:t>Na potrebe DVD-a, u sklopu civilne zaštite nabavljena je oprema u ukupnoj vrijednosti od 2.457,50 EUR.</w:t>
      </w:r>
    </w:p>
    <w:p w:rsidR="00436662" w:rsidRPr="00B52980" w:rsidRDefault="00436662" w:rsidP="000B0974">
      <w:pPr>
        <w:jc w:val="both"/>
        <w:outlineLvl w:val="0"/>
      </w:pPr>
      <w:r w:rsidRPr="00B52980">
        <w:t>U periodu 1.1.2024. do 31.12.2024. godine nabavljeno je opreme u vrijednosti 180.500,66 EUR od čega se 77% odnosi na opremu za matični vrtić – Brodec2a.</w:t>
      </w:r>
    </w:p>
    <w:p w:rsidR="00436662" w:rsidRPr="00B52980" w:rsidRDefault="00436662" w:rsidP="000B0974">
      <w:pPr>
        <w:jc w:val="both"/>
        <w:outlineLvl w:val="0"/>
      </w:pPr>
      <w:r w:rsidRPr="00B52980">
        <w:t xml:space="preserve">Izgradnja autobusnih stajališta u naselju </w:t>
      </w:r>
      <w:proofErr w:type="spellStart"/>
      <w:r w:rsidRPr="00B52980">
        <w:t>Remis</w:t>
      </w:r>
      <w:proofErr w:type="spellEnd"/>
      <w:r w:rsidRPr="00B52980">
        <w:t xml:space="preserve"> i Gornji </w:t>
      </w:r>
      <w:proofErr w:type="spellStart"/>
      <w:r w:rsidRPr="00B52980">
        <w:t>Kraljevec</w:t>
      </w:r>
      <w:proofErr w:type="spellEnd"/>
      <w:r w:rsidRPr="00B52980">
        <w:t xml:space="preserve"> iznosilo je 13.568,88 EUR. </w:t>
      </w:r>
    </w:p>
    <w:p w:rsidR="0065582F" w:rsidRPr="00B52980" w:rsidRDefault="0065582F" w:rsidP="000B0974">
      <w:pPr>
        <w:jc w:val="both"/>
        <w:outlineLvl w:val="0"/>
      </w:pPr>
      <w:r w:rsidRPr="00B52980">
        <w:t xml:space="preserve">Na mjesno groblje u </w:t>
      </w:r>
      <w:proofErr w:type="spellStart"/>
      <w:r w:rsidRPr="00B52980">
        <w:t>Vratišincu</w:t>
      </w:r>
      <w:proofErr w:type="spellEnd"/>
      <w:r w:rsidRPr="00B52980">
        <w:t xml:space="preserve"> uložilo se 1.152,50 EUR a odnosi se na ugradnju klime u kuhinju mrtvačnice. </w:t>
      </w:r>
    </w:p>
    <w:p w:rsidR="0065582F" w:rsidRPr="00B52980" w:rsidRDefault="0065582F" w:rsidP="000B0974">
      <w:pPr>
        <w:jc w:val="both"/>
        <w:outlineLvl w:val="0"/>
      </w:pPr>
    </w:p>
    <w:p w:rsidR="0065582F" w:rsidRPr="00B52980" w:rsidRDefault="0065582F" w:rsidP="000B0974">
      <w:pPr>
        <w:jc w:val="both"/>
        <w:outlineLvl w:val="0"/>
      </w:pPr>
      <w:r w:rsidRPr="00B52980">
        <w:t>UKUPNI PRIHODI IZNOSE: 2.388.611,86 EUR</w:t>
      </w:r>
    </w:p>
    <w:p w:rsidR="0065582F" w:rsidRPr="00B52980" w:rsidRDefault="0065582F" w:rsidP="000B0974">
      <w:pPr>
        <w:jc w:val="both"/>
        <w:outlineLvl w:val="0"/>
      </w:pPr>
      <w:r w:rsidRPr="00B52980">
        <w:t>UKUPNI RASHODI IZNOSE: 2.555.744,99 EUR</w:t>
      </w:r>
    </w:p>
    <w:p w:rsidR="0065582F" w:rsidRPr="00B52980" w:rsidRDefault="0065582F" w:rsidP="000B0974">
      <w:pPr>
        <w:jc w:val="both"/>
        <w:outlineLvl w:val="0"/>
      </w:pPr>
      <w:r w:rsidRPr="00B52980">
        <w:t>UKUPAN MANJAK PRIHODA IZNOSI: 167.133,13 EUR</w:t>
      </w:r>
    </w:p>
    <w:p w:rsidR="0065582F" w:rsidRPr="00B52980" w:rsidRDefault="0065582F" w:rsidP="000B0974">
      <w:pPr>
        <w:jc w:val="both"/>
        <w:outlineLvl w:val="0"/>
      </w:pPr>
      <w:r w:rsidRPr="00B52980">
        <w:t>VIŠAK PRIHODA I PRIMITAKA PRENESENI IZNOSI:180.878,21 EUR</w:t>
      </w:r>
    </w:p>
    <w:p w:rsidR="0065582F" w:rsidRPr="00B52980" w:rsidRDefault="0065582F" w:rsidP="000B0974">
      <w:pPr>
        <w:jc w:val="both"/>
        <w:outlineLvl w:val="0"/>
      </w:pPr>
      <w:r w:rsidRPr="00B52980">
        <w:t>OSTVAREN JE VIŠAK ZA POKRIĆE U BUDUĆIM RAZDOBLJIMA: 13.745,08 EUR.</w:t>
      </w:r>
    </w:p>
    <w:p w:rsidR="0065582F" w:rsidRPr="00B52980" w:rsidRDefault="0065582F" w:rsidP="000B0974">
      <w:pPr>
        <w:jc w:val="both"/>
        <w:outlineLvl w:val="0"/>
      </w:pPr>
    </w:p>
    <w:p w:rsidR="0065582F" w:rsidRPr="00B52980" w:rsidRDefault="0065582F" w:rsidP="000B0974">
      <w:pPr>
        <w:jc w:val="both"/>
        <w:outlineLvl w:val="0"/>
        <w:rPr>
          <w:b/>
        </w:rPr>
      </w:pPr>
      <w:r w:rsidRPr="00B52980">
        <w:rPr>
          <w:b/>
        </w:rPr>
        <w:t>Obvezni analitički podaci:</w:t>
      </w:r>
    </w:p>
    <w:p w:rsidR="0065582F" w:rsidRPr="00B52980" w:rsidRDefault="0065582F" w:rsidP="000B0974">
      <w:pPr>
        <w:jc w:val="both"/>
        <w:outlineLvl w:val="0"/>
        <w:rPr>
          <w:b/>
        </w:rPr>
      </w:pPr>
    </w:p>
    <w:p w:rsidR="0065582F" w:rsidRPr="00B52980" w:rsidRDefault="0065582F" w:rsidP="000B0974">
      <w:pPr>
        <w:jc w:val="both"/>
        <w:outlineLvl w:val="0"/>
      </w:pPr>
      <w:r w:rsidRPr="00B52980">
        <w:t>Stanje novčanih sredstava na početku izvještajnog razdoblja 1.1. iznose 209.880,03 EUR. Ako dodamo ukupne priljeve i oduzmemo ukupne odljeve stanje novčanih sredstava na kraju izvještajnog razdoblja 31.12.2024. iznose 69.178,65 EUR. Prosječan broj zaposlenih iznosi 4.</w:t>
      </w:r>
    </w:p>
    <w:p w:rsidR="0065582F" w:rsidRPr="00B52980" w:rsidRDefault="0065582F" w:rsidP="000B0974">
      <w:pPr>
        <w:jc w:val="both"/>
        <w:outlineLvl w:val="0"/>
      </w:pPr>
    </w:p>
    <w:p w:rsidR="006E05F5" w:rsidRPr="00B52980" w:rsidRDefault="0065582F" w:rsidP="000B0974">
      <w:pPr>
        <w:jc w:val="both"/>
        <w:outlineLvl w:val="0"/>
      </w:pPr>
      <w:r w:rsidRPr="00B52980">
        <w:t xml:space="preserve">Općina nema kratkoročni ni dugoročni kredit, nema zajmove ni </w:t>
      </w:r>
      <w:proofErr w:type="spellStart"/>
      <w:r w:rsidRPr="00B52980">
        <w:t>lizinge</w:t>
      </w:r>
      <w:proofErr w:type="spellEnd"/>
      <w:r w:rsidRPr="00B52980">
        <w:t>. Podnijeli smo Zahtjev za suglasnost za kredit za izgradnju matičnog vrtića, no kako smo dobili dodatna sredstva, kredit nam nije bio potreban za navedeni projekt pa se od istog odustalo.</w:t>
      </w:r>
    </w:p>
    <w:p w:rsidR="00410743" w:rsidRPr="00B52980" w:rsidRDefault="00A633C7" w:rsidP="0052258A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B52980">
        <w:rPr>
          <w:b/>
        </w:rPr>
        <w:lastRenderedPageBreak/>
        <w:t>Bilješke uz RAS-Funkcijski</w:t>
      </w:r>
    </w:p>
    <w:p w:rsidR="00A633C7" w:rsidRPr="00B52980" w:rsidRDefault="00A633C7" w:rsidP="00A633C7">
      <w:pPr>
        <w:jc w:val="both"/>
        <w:outlineLvl w:val="0"/>
        <w:rPr>
          <w:b/>
        </w:rPr>
      </w:pPr>
    </w:p>
    <w:p w:rsidR="00A633C7" w:rsidRPr="00B52980" w:rsidRDefault="00A633C7" w:rsidP="00A633C7">
      <w:pPr>
        <w:jc w:val="both"/>
        <w:outlineLvl w:val="0"/>
      </w:pPr>
      <w:r w:rsidRPr="00B52980">
        <w:t>Šifra R1</w:t>
      </w:r>
      <w:r w:rsidRPr="00B52980">
        <w:rPr>
          <w:b/>
        </w:rPr>
        <w:t xml:space="preserve"> – </w:t>
      </w:r>
      <w:r w:rsidRPr="00B52980">
        <w:t xml:space="preserve">Ukupni rashodi u izvještajnom razdoblju iznose </w:t>
      </w:r>
      <w:r w:rsidR="00B24839">
        <w:t>2.514.088,67</w:t>
      </w:r>
      <w:r w:rsidRPr="00B52980">
        <w:t>. Prema izvršenju prema funkcijskoj klasifikaciji najveći udio zauzima iznos od</w:t>
      </w:r>
      <w:r w:rsidR="0052258A" w:rsidRPr="00B52980">
        <w:t xml:space="preserve"> 1.</w:t>
      </w:r>
      <w:r w:rsidR="00B24839">
        <w:t>685.027,37 EUR</w:t>
      </w:r>
      <w:r w:rsidRPr="00B52980">
        <w:t xml:space="preserve">, a odnosi se na </w:t>
      </w:r>
      <w:r w:rsidR="0052258A" w:rsidRPr="00B52980">
        <w:t>09 Obrazovanje.</w:t>
      </w:r>
      <w:r w:rsidR="00B24839">
        <w:t xml:space="preserve"> </w:t>
      </w:r>
      <w:r w:rsidR="0052258A" w:rsidRPr="00B52980">
        <w:t xml:space="preserve"> </w:t>
      </w:r>
    </w:p>
    <w:p w:rsidR="00B24839" w:rsidRDefault="004A26A2" w:rsidP="00A633C7">
      <w:pPr>
        <w:jc w:val="both"/>
        <w:outlineLvl w:val="0"/>
      </w:pPr>
      <w:r w:rsidRPr="00B52980">
        <w:t xml:space="preserve">Za opće javne usluge izdvojeno je </w:t>
      </w:r>
      <w:r w:rsidR="0052258A" w:rsidRPr="00B52980">
        <w:t>254.821,78</w:t>
      </w:r>
      <w:r w:rsidRPr="00B52980">
        <w:t xml:space="preserve"> EUR, dok je u 2022. godini za isto izdvojeno </w:t>
      </w:r>
      <w:r w:rsidR="0052258A" w:rsidRPr="00B52980">
        <w:t>192</w:t>
      </w:r>
      <w:r w:rsidRPr="00B52980">
        <w:t>.</w:t>
      </w:r>
      <w:r w:rsidR="0052258A" w:rsidRPr="00B52980">
        <w:t>765</w:t>
      </w:r>
      <w:r w:rsidRPr="00B52980">
        <w:t>,</w:t>
      </w:r>
      <w:r w:rsidR="0052258A" w:rsidRPr="00B52980">
        <w:t>55</w:t>
      </w:r>
      <w:r w:rsidRPr="00B52980">
        <w:t xml:space="preserve"> EUR. </w:t>
      </w:r>
    </w:p>
    <w:p w:rsidR="00B24839" w:rsidRDefault="00B24839" w:rsidP="00A633C7">
      <w:pPr>
        <w:jc w:val="both"/>
        <w:outlineLvl w:val="0"/>
      </w:pPr>
      <w:r>
        <w:t>Ukupni rashodi poslovanja općine 2.555.744,99 EUR – 367 (41.656,32) = 2.514.088,67 EUR</w:t>
      </w:r>
    </w:p>
    <w:p w:rsidR="00B24839" w:rsidRPr="00B52980" w:rsidRDefault="00B24839" w:rsidP="00A633C7">
      <w:pPr>
        <w:jc w:val="both"/>
        <w:outlineLvl w:val="0"/>
      </w:pPr>
    </w:p>
    <w:p w:rsidR="006E05F5" w:rsidRPr="00B24839" w:rsidRDefault="004A26A2" w:rsidP="006E05F5">
      <w:pPr>
        <w:pStyle w:val="Odlomakpopisa"/>
        <w:numPr>
          <w:ilvl w:val="0"/>
          <w:numId w:val="5"/>
        </w:numPr>
        <w:jc w:val="both"/>
        <w:outlineLvl w:val="0"/>
        <w:rPr>
          <w:b/>
        </w:rPr>
      </w:pPr>
      <w:r w:rsidRPr="00B52980">
        <w:rPr>
          <w:b/>
        </w:rPr>
        <w:t>Bilješke uz Bilancu</w:t>
      </w:r>
    </w:p>
    <w:p w:rsidR="004A26A2" w:rsidRPr="00B52980" w:rsidRDefault="004A26A2" w:rsidP="004A26A2">
      <w:pPr>
        <w:jc w:val="both"/>
        <w:outlineLvl w:val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B3D86" w:rsidRPr="00B52980" w:rsidTr="00620BFB">
        <w:tc>
          <w:tcPr>
            <w:tcW w:w="9062" w:type="dxa"/>
            <w:gridSpan w:val="4"/>
          </w:tcPr>
          <w:p w:rsidR="00FB3D86" w:rsidRPr="00B24839" w:rsidRDefault="00FB3D86" w:rsidP="00FB3D8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24839">
              <w:rPr>
                <w:b/>
                <w:sz w:val="16"/>
                <w:szCs w:val="16"/>
              </w:rPr>
              <w:t>IMOVINA = 3.859.460,64 EUR (B001 i B003)</w:t>
            </w:r>
          </w:p>
        </w:tc>
      </w:tr>
      <w:tr w:rsidR="00FB3D86" w:rsidRPr="00B52980" w:rsidTr="00620BFB">
        <w:tc>
          <w:tcPr>
            <w:tcW w:w="2265" w:type="dxa"/>
          </w:tcPr>
          <w:p w:rsidR="00FB3D86" w:rsidRPr="00B24839" w:rsidRDefault="00FB3D86" w:rsidP="00620BFB">
            <w:pPr>
              <w:outlineLvl w:val="0"/>
              <w:rPr>
                <w:sz w:val="18"/>
                <w:szCs w:val="18"/>
              </w:rPr>
            </w:pPr>
            <w:r w:rsidRPr="00B24839">
              <w:rPr>
                <w:sz w:val="18"/>
                <w:szCs w:val="18"/>
              </w:rPr>
              <w:t>0 – nefinancijska imovina (B002)</w:t>
            </w:r>
          </w:p>
        </w:tc>
        <w:tc>
          <w:tcPr>
            <w:tcW w:w="2265" w:type="dxa"/>
          </w:tcPr>
          <w:p w:rsidR="00FB3D86" w:rsidRPr="00B24839" w:rsidRDefault="00B52980" w:rsidP="00620BFB">
            <w:pPr>
              <w:outlineLvl w:val="0"/>
              <w:rPr>
                <w:sz w:val="16"/>
                <w:szCs w:val="16"/>
              </w:rPr>
            </w:pPr>
            <w:r w:rsidRPr="00B24839">
              <w:rPr>
                <w:sz w:val="16"/>
                <w:szCs w:val="16"/>
              </w:rPr>
              <w:t>4.883.096,99 EUR</w:t>
            </w:r>
          </w:p>
        </w:tc>
        <w:tc>
          <w:tcPr>
            <w:tcW w:w="2266" w:type="dxa"/>
          </w:tcPr>
          <w:p w:rsidR="00FB3D86" w:rsidRPr="00B24839" w:rsidRDefault="00FB3D86" w:rsidP="00620BFB">
            <w:pPr>
              <w:outlineLvl w:val="0"/>
              <w:rPr>
                <w:sz w:val="16"/>
                <w:szCs w:val="16"/>
              </w:rPr>
            </w:pPr>
            <w:r w:rsidRPr="00B24839">
              <w:rPr>
                <w:sz w:val="16"/>
                <w:szCs w:val="16"/>
              </w:rPr>
              <w:t>2 – obveze (2)</w:t>
            </w:r>
          </w:p>
        </w:tc>
        <w:tc>
          <w:tcPr>
            <w:tcW w:w="2266" w:type="dxa"/>
          </w:tcPr>
          <w:p w:rsidR="00FB3D86" w:rsidRPr="00B24839" w:rsidRDefault="00B52980" w:rsidP="00620BFB">
            <w:pPr>
              <w:outlineLvl w:val="0"/>
              <w:rPr>
                <w:sz w:val="16"/>
                <w:szCs w:val="16"/>
              </w:rPr>
            </w:pPr>
            <w:r w:rsidRPr="00B24839">
              <w:rPr>
                <w:sz w:val="16"/>
                <w:szCs w:val="16"/>
              </w:rPr>
              <w:t>66.546,17</w:t>
            </w:r>
            <w:r w:rsidR="00FB3D86" w:rsidRPr="00B24839">
              <w:rPr>
                <w:sz w:val="16"/>
                <w:szCs w:val="16"/>
              </w:rPr>
              <w:t xml:space="preserve"> EUR</w:t>
            </w:r>
          </w:p>
        </w:tc>
      </w:tr>
      <w:tr w:rsidR="00FB3D86" w:rsidRPr="00B52980" w:rsidTr="00620BFB">
        <w:tc>
          <w:tcPr>
            <w:tcW w:w="2265" w:type="dxa"/>
          </w:tcPr>
          <w:p w:rsidR="00FB3D86" w:rsidRPr="00B24839" w:rsidRDefault="00FB3D86" w:rsidP="00620BFB">
            <w:pPr>
              <w:outlineLvl w:val="0"/>
              <w:rPr>
                <w:sz w:val="18"/>
                <w:szCs w:val="18"/>
              </w:rPr>
            </w:pPr>
            <w:r w:rsidRPr="00B24839">
              <w:rPr>
                <w:sz w:val="18"/>
                <w:szCs w:val="18"/>
              </w:rPr>
              <w:t>1 – financijska imovina (1)</w:t>
            </w:r>
          </w:p>
        </w:tc>
        <w:tc>
          <w:tcPr>
            <w:tcW w:w="2265" w:type="dxa"/>
          </w:tcPr>
          <w:p w:rsidR="00FB3D86" w:rsidRPr="00B24839" w:rsidRDefault="00B52980" w:rsidP="00620BFB">
            <w:pPr>
              <w:outlineLvl w:val="0"/>
              <w:rPr>
                <w:sz w:val="16"/>
                <w:szCs w:val="16"/>
              </w:rPr>
            </w:pPr>
            <w:r w:rsidRPr="00B24839">
              <w:rPr>
                <w:sz w:val="16"/>
                <w:szCs w:val="16"/>
              </w:rPr>
              <w:t>1.158.694,51</w:t>
            </w:r>
            <w:r w:rsidR="00FB3D86" w:rsidRPr="00B24839">
              <w:rPr>
                <w:sz w:val="16"/>
                <w:szCs w:val="16"/>
              </w:rPr>
              <w:t xml:space="preserve"> EUR</w:t>
            </w:r>
          </w:p>
        </w:tc>
        <w:tc>
          <w:tcPr>
            <w:tcW w:w="2266" w:type="dxa"/>
          </w:tcPr>
          <w:p w:rsidR="00FB3D86" w:rsidRPr="00B24839" w:rsidRDefault="00FB3D86" w:rsidP="00620BFB">
            <w:pPr>
              <w:outlineLvl w:val="0"/>
              <w:rPr>
                <w:sz w:val="16"/>
                <w:szCs w:val="16"/>
              </w:rPr>
            </w:pPr>
            <w:r w:rsidRPr="00B24839">
              <w:rPr>
                <w:sz w:val="16"/>
                <w:szCs w:val="16"/>
              </w:rPr>
              <w:t>9 – vlastiti izvori (9)</w:t>
            </w:r>
          </w:p>
        </w:tc>
        <w:tc>
          <w:tcPr>
            <w:tcW w:w="2266" w:type="dxa"/>
          </w:tcPr>
          <w:p w:rsidR="00FB3D86" w:rsidRPr="00B24839" w:rsidRDefault="00B52980" w:rsidP="00620BFB">
            <w:pPr>
              <w:outlineLvl w:val="0"/>
              <w:rPr>
                <w:sz w:val="16"/>
                <w:szCs w:val="16"/>
              </w:rPr>
            </w:pPr>
            <w:r w:rsidRPr="00B24839">
              <w:rPr>
                <w:sz w:val="16"/>
                <w:szCs w:val="16"/>
              </w:rPr>
              <w:t xml:space="preserve">5.975.245,33 </w:t>
            </w:r>
            <w:r w:rsidR="00FB3D86" w:rsidRPr="00B24839">
              <w:rPr>
                <w:sz w:val="16"/>
                <w:szCs w:val="16"/>
              </w:rPr>
              <w:t>EUR</w:t>
            </w:r>
          </w:p>
        </w:tc>
      </w:tr>
      <w:tr w:rsidR="00FB3D86" w:rsidRPr="00B52980" w:rsidTr="00620BFB">
        <w:tc>
          <w:tcPr>
            <w:tcW w:w="4530" w:type="dxa"/>
            <w:gridSpan w:val="2"/>
          </w:tcPr>
          <w:p w:rsidR="00FB3D86" w:rsidRPr="00B24839" w:rsidRDefault="00B52980" w:rsidP="00620BF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24839">
              <w:rPr>
                <w:b/>
                <w:sz w:val="16"/>
                <w:szCs w:val="16"/>
              </w:rPr>
              <w:t>6.041.791,50 EUR</w:t>
            </w:r>
          </w:p>
        </w:tc>
        <w:tc>
          <w:tcPr>
            <w:tcW w:w="4532" w:type="dxa"/>
            <w:gridSpan w:val="2"/>
          </w:tcPr>
          <w:p w:rsidR="00FB3D86" w:rsidRPr="00B24839" w:rsidRDefault="00B52980" w:rsidP="00620BFB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B24839">
              <w:rPr>
                <w:b/>
                <w:sz w:val="16"/>
                <w:szCs w:val="16"/>
              </w:rPr>
              <w:t>6.041.791,50</w:t>
            </w:r>
            <w:r w:rsidR="00FB3D86" w:rsidRPr="00B24839">
              <w:rPr>
                <w:b/>
                <w:sz w:val="16"/>
                <w:szCs w:val="16"/>
              </w:rPr>
              <w:t xml:space="preserve"> EUR</w:t>
            </w:r>
          </w:p>
        </w:tc>
      </w:tr>
    </w:tbl>
    <w:p w:rsidR="004A26A2" w:rsidRPr="00B52980" w:rsidRDefault="004A26A2" w:rsidP="004A26A2">
      <w:pPr>
        <w:jc w:val="both"/>
        <w:outlineLvl w:val="0"/>
      </w:pPr>
    </w:p>
    <w:p w:rsidR="00A21F83" w:rsidRPr="00B52980" w:rsidRDefault="00B52980" w:rsidP="00A21F83">
      <w:pPr>
        <w:jc w:val="both"/>
        <w:outlineLvl w:val="0"/>
      </w:pPr>
      <w:r w:rsidRPr="00B52980">
        <w:t xml:space="preserve">Općina </w:t>
      </w:r>
      <w:proofErr w:type="spellStart"/>
      <w:r w:rsidRPr="00B52980">
        <w:t>Vratišinec</w:t>
      </w:r>
      <w:proofErr w:type="spellEnd"/>
      <w:r w:rsidRPr="00B52980">
        <w:t xml:space="preserve"> u 2024. godini naručila je uslugu izrade detaljnog popisa imovine u vlasništvu Općine </w:t>
      </w:r>
      <w:proofErr w:type="spellStart"/>
      <w:r w:rsidRPr="00B52980">
        <w:t>Vratišinec</w:t>
      </w:r>
      <w:proofErr w:type="spellEnd"/>
      <w:r w:rsidRPr="00B52980">
        <w:t xml:space="preserve">. Navedeni popis cjelokupne imovine izradilo je poduzeće Uni usluga </w:t>
      </w:r>
      <w:proofErr w:type="spellStart"/>
      <w:r w:rsidRPr="00B52980">
        <w:t>j.d.o.o</w:t>
      </w:r>
      <w:proofErr w:type="spellEnd"/>
      <w:r w:rsidRPr="00B52980">
        <w:t xml:space="preserve">. Kako općina nije imala ustrojeno analitičku evidenciju dugotrajne imovine, koncem 2024. godine ista evidencija se ustrojila. Sva imovina proknjižila se na odgovarajući konto obrazac Bilanca u odnosu na prethodnu godinu izgleda potpuno drugačije. Procjena zemljišta, nerazvrstanih cesta i slično provodila se na temelju podataka Porezne uprave, dok su se za imovinu čiju smo vrijednost posjedovali upisali kao početno stanje 2023. </w:t>
      </w:r>
    </w:p>
    <w:p w:rsidR="00B52980" w:rsidRDefault="00B52980" w:rsidP="00A21F83">
      <w:pPr>
        <w:jc w:val="both"/>
        <w:outlineLvl w:val="0"/>
        <w:rPr>
          <w:sz w:val="22"/>
          <w:szCs w:val="22"/>
        </w:rPr>
      </w:pPr>
    </w:p>
    <w:p w:rsidR="00B52980" w:rsidRDefault="00B52980" w:rsidP="00B52980">
      <w:pPr>
        <w:pStyle w:val="Odlomakpopisa"/>
        <w:numPr>
          <w:ilvl w:val="0"/>
          <w:numId w:val="28"/>
        </w:numPr>
        <w:spacing w:after="160" w:line="259" w:lineRule="auto"/>
        <w:jc w:val="both"/>
      </w:pPr>
      <w:r w:rsidRPr="001A143B">
        <w:rPr>
          <w:b/>
        </w:rPr>
        <w:t>NEFINANCIJSKA IMOVINA =</w:t>
      </w:r>
      <w:r>
        <w:t xml:space="preserve"> </w:t>
      </w:r>
      <w:r w:rsidRPr="00C335B7">
        <w:rPr>
          <w:b/>
        </w:rPr>
        <w:t>4.883.096,99</w:t>
      </w:r>
      <w:r>
        <w:rPr>
          <w:b/>
        </w:rPr>
        <w:t xml:space="preserve"> EUR</w:t>
      </w:r>
      <w:r>
        <w:t xml:space="preserve"> (5.681.735-45 – 798.638,46)</w:t>
      </w:r>
    </w:p>
    <w:p w:rsidR="00B52980" w:rsidRDefault="00B52980" w:rsidP="00B52980">
      <w:pPr>
        <w:jc w:val="both"/>
      </w:pPr>
      <w:r>
        <w:t xml:space="preserve">01 – NEPROIZVEDENA DI = </w:t>
      </w:r>
      <w:r w:rsidRPr="005E2307">
        <w:t>256.651,02</w:t>
      </w:r>
      <w:r>
        <w:t xml:space="preserve"> EUR</w:t>
      </w:r>
    </w:p>
    <w:p w:rsidR="00B52980" w:rsidRDefault="00B52980" w:rsidP="00B52980">
      <w:pPr>
        <w:jc w:val="both"/>
      </w:pPr>
      <w:r>
        <w:t>011 – MATERIJALNA IMOVINA – PRIRODNA BOGATSTVA = 173.885,84 EUR</w:t>
      </w:r>
    </w:p>
    <w:p w:rsidR="00B52980" w:rsidRDefault="00B52980" w:rsidP="00B52980">
      <w:pPr>
        <w:jc w:val="both"/>
      </w:pPr>
      <w:r>
        <w:t>012 – NEMATERIJALNA IMOVINA = 100.901,10 EUR</w:t>
      </w:r>
    </w:p>
    <w:p w:rsidR="00B52980" w:rsidRDefault="00B52980" w:rsidP="00B52980">
      <w:pPr>
        <w:jc w:val="both"/>
      </w:pPr>
      <w:r>
        <w:tab/>
        <w:t>0124 – Ostala prava – 81.664,09 EUR</w:t>
      </w:r>
    </w:p>
    <w:p w:rsidR="00B52980" w:rsidRDefault="00B52980" w:rsidP="00B52980">
      <w:pPr>
        <w:jc w:val="both"/>
      </w:pPr>
      <w:r>
        <w:tab/>
        <w:t>0126 – ostala nematerijalna imovina – 19.237,01 EUR</w:t>
      </w:r>
    </w:p>
    <w:p w:rsidR="00B52980" w:rsidRDefault="00B52980" w:rsidP="00B52980">
      <w:pPr>
        <w:jc w:val="both"/>
      </w:pPr>
      <w:r>
        <w:t>0191 – ispravak vrijednosti nematerijalne imovine – 18.135,92 EUR</w:t>
      </w:r>
    </w:p>
    <w:p w:rsidR="00B52980" w:rsidRDefault="00B52980" w:rsidP="00B52980">
      <w:pPr>
        <w:jc w:val="both"/>
      </w:pPr>
      <w:r>
        <w:t xml:space="preserve">02 – PROIZVEDENA DI = </w:t>
      </w:r>
      <w:r w:rsidRPr="005E2307">
        <w:t>4.626.445,97</w:t>
      </w:r>
      <w:r>
        <w:t xml:space="preserve"> EUR</w:t>
      </w:r>
    </w:p>
    <w:p w:rsidR="00B52980" w:rsidRDefault="00B52980" w:rsidP="00B52980">
      <w:pPr>
        <w:jc w:val="both"/>
      </w:pPr>
      <w:r>
        <w:t>0211 – Stambeni objekti – 63.051,20 EUR</w:t>
      </w:r>
    </w:p>
    <w:p w:rsidR="00B52980" w:rsidRDefault="00B52980" w:rsidP="00B52980">
      <w:pPr>
        <w:jc w:val="both"/>
      </w:pPr>
      <w:r>
        <w:t>0212 – Poslovni objekti – 2.908.818,89 EUR</w:t>
      </w:r>
    </w:p>
    <w:p w:rsidR="00B52980" w:rsidRDefault="00B52980" w:rsidP="00B52980">
      <w:pPr>
        <w:jc w:val="both"/>
      </w:pPr>
      <w:r>
        <w:t>0213 – ceste, željeznice i ostali prometni objekti – 1.636.172,60 EUR</w:t>
      </w:r>
    </w:p>
    <w:p w:rsidR="00B52980" w:rsidRDefault="00B52980" w:rsidP="00B52980">
      <w:pPr>
        <w:jc w:val="both"/>
      </w:pPr>
      <w:r>
        <w:t>0214 – Ostali građevinski objekti – 436.693,42 EUR</w:t>
      </w:r>
    </w:p>
    <w:p w:rsidR="00B52980" w:rsidRDefault="00B52980" w:rsidP="00B52980">
      <w:pPr>
        <w:jc w:val="both"/>
      </w:pPr>
      <w:r>
        <w:t>0221 – Uredska oprema i namještaj – 37.290,12 EUR</w:t>
      </w:r>
    </w:p>
    <w:p w:rsidR="00B52980" w:rsidRDefault="00B52980" w:rsidP="00B52980">
      <w:pPr>
        <w:jc w:val="both"/>
      </w:pPr>
      <w:r>
        <w:t>0222 – Komunikacijska oprema – 34.200,24 EUR</w:t>
      </w:r>
    </w:p>
    <w:p w:rsidR="00B52980" w:rsidRDefault="00B52980" w:rsidP="00B52980">
      <w:pPr>
        <w:jc w:val="both"/>
      </w:pPr>
      <w:r>
        <w:t>0223 – Oprema za održavanje i zaštitu – 22.878,77 EUR</w:t>
      </w:r>
    </w:p>
    <w:p w:rsidR="00B52980" w:rsidRDefault="00B52980" w:rsidP="00B52980">
      <w:pPr>
        <w:jc w:val="both"/>
      </w:pPr>
      <w:r>
        <w:t xml:space="preserve">0224 – Medicinska i </w:t>
      </w:r>
      <w:proofErr w:type="spellStart"/>
      <w:r>
        <w:t>lab</w:t>
      </w:r>
      <w:proofErr w:type="spellEnd"/>
      <w:r>
        <w:t>. Oprema – 235,02 EUR</w:t>
      </w:r>
    </w:p>
    <w:p w:rsidR="00B52980" w:rsidRDefault="00B52980" w:rsidP="00B52980">
      <w:pPr>
        <w:jc w:val="both"/>
      </w:pPr>
      <w:r>
        <w:t>0227 – Uređaji, strojevi i oprema za ostale namjene – 251.393,53 EUR</w:t>
      </w:r>
    </w:p>
    <w:p w:rsidR="00B52980" w:rsidRDefault="00B52980" w:rsidP="00B52980">
      <w:pPr>
        <w:jc w:val="both"/>
      </w:pPr>
      <w:r>
        <w:t>0292 – Ispravak vrijednosti proizvedene dug. Imovine – 764.287,82 EUR</w:t>
      </w:r>
    </w:p>
    <w:p w:rsidR="00B52980" w:rsidRDefault="00B52980" w:rsidP="00B52980">
      <w:pPr>
        <w:jc w:val="both"/>
      </w:pPr>
      <w:r>
        <w:t>0421 SITNI INVENTAR – 16.214,72 EUR</w:t>
      </w:r>
    </w:p>
    <w:p w:rsidR="00B24839" w:rsidRDefault="00B52980" w:rsidP="00B52980">
      <w:pPr>
        <w:jc w:val="both"/>
      </w:pPr>
      <w:r>
        <w:t>0492 ISPRAVAK VRIJEDNOSTI SITNOG INVENTAR – 16.214,72 EUR</w:t>
      </w:r>
    </w:p>
    <w:p w:rsidR="00B52980" w:rsidRDefault="00B52980" w:rsidP="00B52980">
      <w:pPr>
        <w:jc w:val="both"/>
      </w:pPr>
    </w:p>
    <w:p w:rsidR="00B52980" w:rsidRDefault="00B52980" w:rsidP="00B52980">
      <w:pPr>
        <w:pStyle w:val="Odlomakpopisa"/>
        <w:numPr>
          <w:ilvl w:val="0"/>
          <w:numId w:val="28"/>
        </w:numPr>
        <w:spacing w:after="160" w:line="259" w:lineRule="auto"/>
        <w:jc w:val="both"/>
        <w:rPr>
          <w:b/>
        </w:rPr>
      </w:pPr>
      <w:r w:rsidRPr="001A143B">
        <w:rPr>
          <w:b/>
        </w:rPr>
        <w:t>FINANCIJSKA IMOVINA</w:t>
      </w:r>
      <w:r>
        <w:rPr>
          <w:b/>
        </w:rPr>
        <w:t xml:space="preserve"> = 1.158.694,51 EUR</w:t>
      </w:r>
    </w:p>
    <w:p w:rsidR="00B52980" w:rsidRDefault="00B52980" w:rsidP="00B52980">
      <w:pPr>
        <w:jc w:val="both"/>
      </w:pPr>
      <w:r w:rsidRPr="001A143B">
        <w:t xml:space="preserve">11 </w:t>
      </w:r>
      <w:r>
        <w:t>–</w:t>
      </w:r>
      <w:r w:rsidRPr="001A143B">
        <w:t xml:space="preserve"> </w:t>
      </w:r>
      <w:r>
        <w:t>Novac u banci i blagajni = 69.178,65 EUR (ŽR Privredna banka Zagreb 69.157,41 EUR, blagajna 21,24 EUR)</w:t>
      </w:r>
    </w:p>
    <w:p w:rsidR="00B52980" w:rsidRDefault="00B52980" w:rsidP="00B52980">
      <w:pPr>
        <w:jc w:val="both"/>
      </w:pPr>
      <w:r>
        <w:lastRenderedPageBreak/>
        <w:t xml:space="preserve">12 – Depoziti,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poreze i ostalo u iznosu od 11.127,53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>Potraživanja za više plaćeni porez - 970,66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>Hrvatske vode – NUV – 10.128,62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>Potraživanja za naknade koje se refundiraju – 28,25 EUR</w:t>
      </w:r>
    </w:p>
    <w:p w:rsidR="00B52980" w:rsidRDefault="00B52980" w:rsidP="00B52980">
      <w:pPr>
        <w:jc w:val="both"/>
      </w:pPr>
      <w:r>
        <w:t>15 – Dionice i udjeli u glavnici – 1.066.709,92 EUR</w:t>
      </w:r>
    </w:p>
    <w:p w:rsidR="00B52980" w:rsidRDefault="00B52980" w:rsidP="00B52980">
      <w:pPr>
        <w:jc w:val="both"/>
      </w:pPr>
      <w:r>
        <w:t>152121 – 0,00 EUR (</w:t>
      </w:r>
      <w:proofErr w:type="spellStart"/>
      <w:r>
        <w:t>isknjiženje</w:t>
      </w:r>
      <w:proofErr w:type="spellEnd"/>
      <w:r>
        <w:t xml:space="preserve"> prema Odluci općinskog vijeća)</w:t>
      </w:r>
    </w:p>
    <w:p w:rsidR="00B52980" w:rsidRDefault="00B52980" w:rsidP="00B52980">
      <w:pPr>
        <w:jc w:val="both"/>
      </w:pPr>
      <w:r>
        <w:t>16 – Potraživanja za prihode poslovanja – 11.678,41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>Potraživanja za poreze – 2.371,42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 xml:space="preserve">Potraživanja za prihode </w:t>
      </w:r>
      <w:proofErr w:type="spellStart"/>
      <w:r>
        <w:t>prihode</w:t>
      </w:r>
      <w:proofErr w:type="spellEnd"/>
      <w:r>
        <w:t xml:space="preserve"> od imovine – 500,71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>Potraživanja za upravne i administrativne pristojbe, pristojbe po posebnim propisima i naknade – 13.975,47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>Potraživanja za prihode od prodaje proizvoda i robe te pruženih usluga – 345,21 EUR</w:t>
      </w:r>
    </w:p>
    <w:p w:rsidR="00B52980" w:rsidRDefault="00B52980" w:rsidP="00B52980">
      <w:pPr>
        <w:pStyle w:val="Odlomakpopisa"/>
        <w:numPr>
          <w:ilvl w:val="0"/>
          <w:numId w:val="29"/>
        </w:numPr>
        <w:spacing w:after="160" w:line="259" w:lineRule="auto"/>
        <w:jc w:val="both"/>
      </w:pPr>
      <w:r>
        <w:t xml:space="preserve">Potraživanja za kazne i upravne mjere – </w:t>
      </w:r>
      <w:proofErr w:type="spellStart"/>
      <w:r>
        <w:t>isknjižiti</w:t>
      </w:r>
      <w:proofErr w:type="spellEnd"/>
      <w:r>
        <w:t xml:space="preserve"> u cjelokupnom iznosu</w:t>
      </w:r>
    </w:p>
    <w:p w:rsidR="00B52980" w:rsidRDefault="00B52980" w:rsidP="00B52980">
      <w:pPr>
        <w:jc w:val="both"/>
      </w:pPr>
      <w:r>
        <w:t>169 – ispravak vrijednosti potraživanja – 5.514,40 EUR</w:t>
      </w:r>
    </w:p>
    <w:p w:rsidR="00B52980" w:rsidRDefault="00B52980" w:rsidP="00B52980">
      <w:pPr>
        <w:jc w:val="both"/>
      </w:pPr>
    </w:p>
    <w:p w:rsidR="00B52980" w:rsidRDefault="00B52980" w:rsidP="00B52980">
      <w:pPr>
        <w:pStyle w:val="Odlomakpopisa"/>
        <w:numPr>
          <w:ilvl w:val="0"/>
          <w:numId w:val="28"/>
        </w:numPr>
        <w:spacing w:after="160" w:line="259" w:lineRule="auto"/>
        <w:jc w:val="both"/>
        <w:rPr>
          <w:b/>
        </w:rPr>
      </w:pPr>
      <w:r w:rsidRPr="00A96AAC">
        <w:rPr>
          <w:b/>
        </w:rPr>
        <w:t>OBVEZE</w:t>
      </w:r>
      <w:r>
        <w:rPr>
          <w:b/>
        </w:rPr>
        <w:t xml:space="preserve"> = 66.546,17  EUR</w:t>
      </w:r>
    </w:p>
    <w:p w:rsidR="00B52980" w:rsidRPr="00A96AAC" w:rsidRDefault="00B52980" w:rsidP="00B52980">
      <w:pPr>
        <w:pStyle w:val="Odlomakpopisa"/>
        <w:numPr>
          <w:ilvl w:val="1"/>
          <w:numId w:val="28"/>
        </w:numPr>
        <w:spacing w:after="160" w:line="259" w:lineRule="auto"/>
        <w:jc w:val="both"/>
      </w:pPr>
      <w:r w:rsidRPr="00A96AAC">
        <w:t>DOSPJELE = 45.300,11 EUR</w:t>
      </w:r>
    </w:p>
    <w:p w:rsidR="00B52980" w:rsidRDefault="00B52980" w:rsidP="00B52980">
      <w:pPr>
        <w:pStyle w:val="Odlomakpopisa"/>
        <w:ind w:left="1440"/>
        <w:jc w:val="both"/>
      </w:pPr>
      <w:r w:rsidRPr="00A96AAC">
        <w:t xml:space="preserve">232 </w:t>
      </w:r>
      <w:r>
        <w:t>–</w:t>
      </w:r>
      <w:r w:rsidRPr="00A96AAC">
        <w:t xml:space="preserve"> obveze</w:t>
      </w:r>
      <w:r>
        <w:t xml:space="preserve"> za materijalne rashode – 674,78 EUR</w:t>
      </w:r>
    </w:p>
    <w:p w:rsidR="00B52980" w:rsidRDefault="00B52980" w:rsidP="00B52980">
      <w:pPr>
        <w:pStyle w:val="Odlomakpopisa"/>
        <w:ind w:left="1440"/>
        <w:jc w:val="both"/>
      </w:pPr>
      <w:r>
        <w:t>239 – Ostale tekuće obveze – 12.351,83 EUR</w:t>
      </w:r>
    </w:p>
    <w:p w:rsidR="00B52980" w:rsidRDefault="00B52980" w:rsidP="00B52980">
      <w:pPr>
        <w:pStyle w:val="Odlomakpopisa"/>
        <w:ind w:left="1440"/>
        <w:jc w:val="both"/>
      </w:pPr>
      <w:r>
        <w:t>24 – Obveze za nabavu nefinancijske imovine – 32.273,50 EUR.</w:t>
      </w:r>
    </w:p>
    <w:p w:rsidR="00B52980" w:rsidRDefault="00B52980" w:rsidP="00B52980">
      <w:pPr>
        <w:pStyle w:val="Odlomakpopisa"/>
        <w:numPr>
          <w:ilvl w:val="1"/>
          <w:numId w:val="28"/>
        </w:numPr>
        <w:spacing w:after="160" w:line="259" w:lineRule="auto"/>
        <w:jc w:val="both"/>
      </w:pPr>
      <w:r>
        <w:t>NEDOSPJELE=21.246,06 EUR</w:t>
      </w:r>
    </w:p>
    <w:p w:rsidR="00B52980" w:rsidRDefault="00B52980" w:rsidP="00B52980">
      <w:pPr>
        <w:pStyle w:val="Odlomakpopisa"/>
        <w:ind w:left="1440"/>
        <w:jc w:val="both"/>
      </w:pPr>
      <w:r>
        <w:t>231 – obveze za zaposlene – 11.518,64 EUR</w:t>
      </w:r>
    </w:p>
    <w:p w:rsidR="00B52980" w:rsidRDefault="00B52980" w:rsidP="00B52980">
      <w:pPr>
        <w:pStyle w:val="Odlomakpopisa"/>
        <w:ind w:left="1440"/>
        <w:jc w:val="both"/>
      </w:pPr>
      <w:r>
        <w:t>232 – Obveze za materijalne rashode – 9.450,80 EUR</w:t>
      </w:r>
    </w:p>
    <w:p w:rsidR="00B52980" w:rsidRDefault="00B52980" w:rsidP="00B52980">
      <w:pPr>
        <w:pStyle w:val="Odlomakpopisa"/>
        <w:ind w:left="1440"/>
        <w:jc w:val="both"/>
      </w:pPr>
      <w:r>
        <w:t>234 – Obveze za financijske rashode – 75,56 EUR</w:t>
      </w:r>
    </w:p>
    <w:p w:rsidR="00B52980" w:rsidRDefault="00B52980" w:rsidP="00B52980">
      <w:pPr>
        <w:pStyle w:val="Odlomakpopisa"/>
        <w:ind w:left="1440"/>
        <w:jc w:val="both"/>
      </w:pPr>
      <w:r>
        <w:t>238 – Obveze za kazne, naknade štete i kapitalne pomoći – 201,06 EUR</w:t>
      </w:r>
    </w:p>
    <w:p w:rsidR="00B52980" w:rsidRDefault="00B52980" w:rsidP="00B52980">
      <w:pPr>
        <w:jc w:val="both"/>
      </w:pPr>
    </w:p>
    <w:p w:rsidR="00B52980" w:rsidRDefault="00B52980" w:rsidP="00B52980">
      <w:pPr>
        <w:pStyle w:val="Odlomakpopisa"/>
        <w:numPr>
          <w:ilvl w:val="0"/>
          <w:numId w:val="28"/>
        </w:numPr>
        <w:jc w:val="both"/>
        <w:rPr>
          <w:b/>
        </w:rPr>
      </w:pPr>
      <w:r w:rsidRPr="00B52980">
        <w:rPr>
          <w:b/>
        </w:rPr>
        <w:t xml:space="preserve">VLASTITI IZVORI = 5.975.245,33 EUR </w:t>
      </w:r>
    </w:p>
    <w:p w:rsidR="00B52980" w:rsidRDefault="00B52980" w:rsidP="00B52980">
      <w:pPr>
        <w:jc w:val="both"/>
      </w:pPr>
      <w:r w:rsidRPr="00B52980">
        <w:t xml:space="preserve">Rezultat poslovanja je </w:t>
      </w:r>
      <w:r>
        <w:t>13.745,08 EUR.</w:t>
      </w:r>
    </w:p>
    <w:p w:rsidR="00B52980" w:rsidRDefault="00B52980" w:rsidP="00B52980">
      <w:pPr>
        <w:jc w:val="both"/>
      </w:pPr>
    </w:p>
    <w:p w:rsidR="00B52980" w:rsidRPr="00FD3E9D" w:rsidRDefault="00B52980" w:rsidP="00B52980">
      <w:pPr>
        <w:pStyle w:val="Odlomakpopisa"/>
        <w:numPr>
          <w:ilvl w:val="0"/>
          <w:numId w:val="28"/>
        </w:numPr>
        <w:spacing w:after="160" w:line="259" w:lineRule="auto"/>
        <w:jc w:val="both"/>
        <w:rPr>
          <w:b/>
        </w:rPr>
      </w:pPr>
      <w:r w:rsidRPr="00FD3E9D">
        <w:rPr>
          <w:b/>
        </w:rPr>
        <w:t xml:space="preserve">IZVANBILANČNI ZAPISI = </w:t>
      </w:r>
      <w:r>
        <w:rPr>
          <w:b/>
        </w:rPr>
        <w:t>492.280,22 EUR</w:t>
      </w:r>
    </w:p>
    <w:p w:rsidR="00B52980" w:rsidRDefault="00B52980" w:rsidP="00B52980">
      <w:pPr>
        <w:pStyle w:val="Odlomakpopisa"/>
        <w:ind w:left="1080"/>
        <w:jc w:val="both"/>
      </w:pPr>
    </w:p>
    <w:p w:rsidR="00B52980" w:rsidRDefault="00B52980" w:rsidP="00B52980">
      <w:pPr>
        <w:pStyle w:val="Odlomakpopisa"/>
        <w:numPr>
          <w:ilvl w:val="1"/>
          <w:numId w:val="28"/>
        </w:numPr>
        <w:spacing w:after="160" w:line="259" w:lineRule="auto"/>
        <w:jc w:val="both"/>
      </w:pPr>
      <w:r>
        <w:t>Tuđa imovina dobivena na korištenje u vrijednosti 201.439,21 EUR</w:t>
      </w:r>
    </w:p>
    <w:p w:rsidR="00B52980" w:rsidRDefault="00B52980" w:rsidP="00B52980">
      <w:pPr>
        <w:pStyle w:val="Odlomakpopisa"/>
        <w:numPr>
          <w:ilvl w:val="2"/>
          <w:numId w:val="29"/>
        </w:numPr>
        <w:spacing w:after="160" w:line="259" w:lineRule="auto"/>
        <w:jc w:val="both"/>
      </w:pPr>
      <w:r>
        <w:t xml:space="preserve">Višenamjenska autocisterna ZG6450 FP (skladištena u DVD </w:t>
      </w:r>
      <w:proofErr w:type="spellStart"/>
      <w:r>
        <w:t>Vratišinec</w:t>
      </w:r>
      <w:proofErr w:type="spellEnd"/>
      <w:r>
        <w:t>) – 199.084,21 EUR</w:t>
      </w:r>
    </w:p>
    <w:p w:rsidR="00B52980" w:rsidRDefault="00B52980" w:rsidP="00B52980">
      <w:pPr>
        <w:pStyle w:val="Odlomakpopisa"/>
        <w:numPr>
          <w:ilvl w:val="2"/>
          <w:numId w:val="29"/>
        </w:numPr>
        <w:spacing w:after="160" w:line="259" w:lineRule="auto"/>
        <w:jc w:val="both"/>
      </w:pPr>
      <w:r>
        <w:t>Aparat za vodu – Živa voda – 195,00 EUR</w:t>
      </w:r>
    </w:p>
    <w:p w:rsidR="00B52980" w:rsidRDefault="00B52980" w:rsidP="00B52980">
      <w:pPr>
        <w:pStyle w:val="Odlomakpopisa"/>
        <w:numPr>
          <w:ilvl w:val="2"/>
          <w:numId w:val="29"/>
        </w:numPr>
        <w:spacing w:after="160" w:line="259" w:lineRule="auto"/>
        <w:jc w:val="both"/>
      </w:pPr>
      <w:r>
        <w:t xml:space="preserve">Canon IR </w:t>
      </w:r>
      <w:proofErr w:type="spellStart"/>
      <w:r>
        <w:t>Advance</w:t>
      </w:r>
      <w:proofErr w:type="spellEnd"/>
      <w:r>
        <w:t xml:space="preserve"> C3525i Fotokopirni uređaj – 2.160,00 EUR</w:t>
      </w:r>
    </w:p>
    <w:p w:rsidR="00B52980" w:rsidRDefault="00B52980" w:rsidP="00B52980">
      <w:pPr>
        <w:pStyle w:val="Odlomakpopisa"/>
        <w:numPr>
          <w:ilvl w:val="1"/>
          <w:numId w:val="28"/>
        </w:numPr>
        <w:spacing w:after="160" w:line="259" w:lineRule="auto"/>
        <w:jc w:val="both"/>
      </w:pPr>
      <w:r>
        <w:t>Dana jamstva 2024. = 104.940,17 EUR</w:t>
      </w:r>
    </w:p>
    <w:p w:rsidR="00B52980" w:rsidRDefault="00B52980" w:rsidP="00B52980">
      <w:pPr>
        <w:pStyle w:val="Odlomakpopisa"/>
        <w:numPr>
          <w:ilvl w:val="1"/>
          <w:numId w:val="28"/>
        </w:numPr>
        <w:spacing w:after="160" w:line="259" w:lineRule="auto"/>
        <w:jc w:val="both"/>
      </w:pPr>
      <w:r>
        <w:t>Instrumenti osiguranja plaćanja 2024. = 173.900,84 EUR</w:t>
      </w:r>
    </w:p>
    <w:p w:rsidR="00B52980" w:rsidRDefault="00B52980" w:rsidP="00B52980">
      <w:pPr>
        <w:pStyle w:val="Odlomakpopisa"/>
        <w:numPr>
          <w:ilvl w:val="1"/>
          <w:numId w:val="28"/>
        </w:numPr>
        <w:spacing w:after="160" w:line="259" w:lineRule="auto"/>
        <w:jc w:val="both"/>
      </w:pPr>
      <w:r>
        <w:t xml:space="preserve">Potencijalne obveze po osnovi sudskih sporova u tijeku = 12.000,00 EUR </w:t>
      </w:r>
    </w:p>
    <w:p w:rsidR="00B52980" w:rsidRDefault="00B52980" w:rsidP="00B52980">
      <w:pPr>
        <w:pStyle w:val="Odlomakpopisa"/>
        <w:numPr>
          <w:ilvl w:val="2"/>
          <w:numId w:val="28"/>
        </w:numPr>
        <w:spacing w:after="160" w:line="259" w:lineRule="auto"/>
        <w:jc w:val="both"/>
      </w:pPr>
      <w:r>
        <w:t xml:space="preserve">Općina se nalazi u 3 sudska spora koja su u tijeku od čega je u 2 slučaja Općina </w:t>
      </w:r>
      <w:proofErr w:type="spellStart"/>
      <w:r>
        <w:t>Vratišinec</w:t>
      </w:r>
      <w:proofErr w:type="spellEnd"/>
      <w:r>
        <w:t xml:space="preserve"> tužitelj, a u jednom sporu tuženik. Svaki sudski spor procijenjen je na iznos od 4.000,00 EUR. Procjenu napravila odvjetnica koja zastupa općinu u sudskim sporovima.</w:t>
      </w:r>
    </w:p>
    <w:p w:rsidR="0046342D" w:rsidRDefault="0046342D" w:rsidP="0046342D">
      <w:pPr>
        <w:pStyle w:val="Odlomakpopisa"/>
        <w:spacing w:after="160" w:line="259" w:lineRule="auto"/>
        <w:ind w:left="2160"/>
        <w:jc w:val="both"/>
      </w:pPr>
    </w:p>
    <w:p w:rsidR="00B24839" w:rsidRDefault="00B24839" w:rsidP="0046342D">
      <w:pPr>
        <w:pStyle w:val="Odlomakpopisa"/>
        <w:spacing w:after="160" w:line="259" w:lineRule="auto"/>
        <w:ind w:left="2160"/>
        <w:jc w:val="both"/>
      </w:pPr>
    </w:p>
    <w:p w:rsidR="00B24839" w:rsidRDefault="00B24839" w:rsidP="0046342D">
      <w:pPr>
        <w:pStyle w:val="Odlomakpopisa"/>
        <w:spacing w:after="160" w:line="259" w:lineRule="auto"/>
        <w:ind w:left="2160"/>
        <w:jc w:val="both"/>
      </w:pPr>
      <w:bookmarkStart w:id="0" w:name="_GoBack"/>
      <w:bookmarkEnd w:id="0"/>
    </w:p>
    <w:p w:rsidR="0046342D" w:rsidRPr="0046342D" w:rsidRDefault="0046342D" w:rsidP="0046342D">
      <w:pPr>
        <w:pStyle w:val="Odlomakpopisa"/>
        <w:numPr>
          <w:ilvl w:val="0"/>
          <w:numId w:val="5"/>
        </w:numPr>
        <w:rPr>
          <w:b/>
        </w:rPr>
      </w:pPr>
      <w:r w:rsidRPr="0046342D">
        <w:rPr>
          <w:b/>
        </w:rPr>
        <w:lastRenderedPageBreak/>
        <w:t>POPIS SUDSKIH SPOROVA U TIJEKU</w:t>
      </w:r>
    </w:p>
    <w:p w:rsidR="0046342D" w:rsidRDefault="0046342D" w:rsidP="0046342D">
      <w:pPr>
        <w:ind w:left="720"/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0"/>
        <w:gridCol w:w="1188"/>
        <w:gridCol w:w="1188"/>
        <w:gridCol w:w="1214"/>
        <w:gridCol w:w="1358"/>
        <w:gridCol w:w="1818"/>
        <w:gridCol w:w="1516"/>
      </w:tblGrid>
      <w:tr w:rsidR="0046342D" w:rsidTr="0046342D">
        <w:tc>
          <w:tcPr>
            <w:tcW w:w="846" w:type="dxa"/>
          </w:tcPr>
          <w:p w:rsidR="0046342D" w:rsidRDefault="0046342D" w:rsidP="0046342D">
            <w:pPr>
              <w:contextualSpacing/>
              <w:jc w:val="center"/>
            </w:pPr>
            <w:r>
              <w:t>Redni broj</w:t>
            </w:r>
          </w:p>
        </w:tc>
        <w:tc>
          <w:tcPr>
            <w:tcW w:w="2126" w:type="dxa"/>
          </w:tcPr>
          <w:p w:rsidR="0046342D" w:rsidRDefault="0046342D" w:rsidP="0046342D">
            <w:pPr>
              <w:contextualSpacing/>
              <w:jc w:val="center"/>
            </w:pPr>
            <w:r>
              <w:t>Tuženik</w:t>
            </w:r>
          </w:p>
        </w:tc>
        <w:tc>
          <w:tcPr>
            <w:tcW w:w="2410" w:type="dxa"/>
          </w:tcPr>
          <w:p w:rsidR="0046342D" w:rsidRDefault="0046342D" w:rsidP="0046342D">
            <w:pPr>
              <w:contextualSpacing/>
              <w:jc w:val="center"/>
            </w:pPr>
            <w:r>
              <w:t>Tužitelj</w:t>
            </w:r>
          </w:p>
        </w:tc>
        <w:tc>
          <w:tcPr>
            <w:tcW w:w="2354" w:type="dxa"/>
          </w:tcPr>
          <w:p w:rsidR="0046342D" w:rsidRDefault="0046342D" w:rsidP="0046342D">
            <w:pPr>
              <w:contextualSpacing/>
              <w:jc w:val="center"/>
            </w:pPr>
            <w:r>
              <w:t>Sažeti opis prirode spora</w:t>
            </w:r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>Procijenjeni trošak spora</w:t>
            </w:r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>Oznaka/poslovni broj pod kojim se vodi sudski spor</w:t>
            </w:r>
          </w:p>
        </w:tc>
        <w:tc>
          <w:tcPr>
            <w:tcW w:w="1935" w:type="dxa"/>
          </w:tcPr>
          <w:p w:rsidR="0046342D" w:rsidRDefault="0046342D" w:rsidP="0046342D">
            <w:pPr>
              <w:contextualSpacing/>
              <w:jc w:val="center"/>
            </w:pPr>
            <w:r>
              <w:t>Početak sudskog spora</w:t>
            </w:r>
          </w:p>
        </w:tc>
      </w:tr>
      <w:tr w:rsidR="0046342D" w:rsidTr="0046342D">
        <w:tc>
          <w:tcPr>
            <w:tcW w:w="846" w:type="dxa"/>
          </w:tcPr>
          <w:p w:rsidR="0046342D" w:rsidRDefault="0046342D" w:rsidP="0046342D">
            <w:pPr>
              <w:contextualSpacing/>
              <w:jc w:val="center"/>
            </w:pPr>
            <w:r>
              <w:t>1.</w:t>
            </w:r>
          </w:p>
        </w:tc>
        <w:tc>
          <w:tcPr>
            <w:tcW w:w="2126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Općina </w:t>
            </w:r>
            <w:proofErr w:type="spellStart"/>
            <w:r>
              <w:t>Vratišinec</w:t>
            </w:r>
            <w:proofErr w:type="spellEnd"/>
          </w:p>
        </w:tc>
        <w:tc>
          <w:tcPr>
            <w:tcW w:w="2410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Josip </w:t>
            </w:r>
            <w:proofErr w:type="spellStart"/>
            <w:r>
              <w:t>Jezernik</w:t>
            </w:r>
            <w:proofErr w:type="spellEnd"/>
            <w:r>
              <w:t xml:space="preserve"> i drugi</w:t>
            </w:r>
          </w:p>
        </w:tc>
        <w:tc>
          <w:tcPr>
            <w:tcW w:w="2354" w:type="dxa"/>
          </w:tcPr>
          <w:p w:rsidR="0046342D" w:rsidRDefault="0046342D" w:rsidP="0046342D">
            <w:pPr>
              <w:contextualSpacing/>
              <w:jc w:val="center"/>
            </w:pPr>
            <w:r>
              <w:t>Utvrđenja /stjecanja vlasništva dosjelošću</w:t>
            </w:r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4.000,00 </w:t>
            </w:r>
            <w:proofErr w:type="spellStart"/>
            <w:r>
              <w:t>eur</w:t>
            </w:r>
            <w:proofErr w:type="spellEnd"/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>P-24/2022</w:t>
            </w:r>
          </w:p>
        </w:tc>
        <w:tc>
          <w:tcPr>
            <w:tcW w:w="1935" w:type="dxa"/>
          </w:tcPr>
          <w:p w:rsidR="0046342D" w:rsidRDefault="0046342D" w:rsidP="0046342D">
            <w:pPr>
              <w:contextualSpacing/>
              <w:jc w:val="center"/>
            </w:pPr>
            <w:r>
              <w:t>03.02.2022.g.</w:t>
            </w:r>
          </w:p>
          <w:p w:rsidR="0046342D" w:rsidRDefault="0046342D" w:rsidP="0046342D">
            <w:pPr>
              <w:contextualSpacing/>
              <w:jc w:val="center"/>
            </w:pPr>
          </w:p>
        </w:tc>
      </w:tr>
      <w:tr w:rsidR="0046342D" w:rsidRPr="00140A58" w:rsidTr="0046342D">
        <w:tc>
          <w:tcPr>
            <w:tcW w:w="846" w:type="dxa"/>
          </w:tcPr>
          <w:p w:rsidR="0046342D" w:rsidRDefault="0046342D" w:rsidP="0046342D">
            <w:pPr>
              <w:contextualSpacing/>
              <w:jc w:val="center"/>
            </w:pPr>
            <w:r>
              <w:t>2.</w:t>
            </w:r>
          </w:p>
        </w:tc>
        <w:tc>
          <w:tcPr>
            <w:tcW w:w="2126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Josip </w:t>
            </w:r>
            <w:proofErr w:type="spellStart"/>
            <w:r>
              <w:t>Jezernik</w:t>
            </w:r>
            <w:proofErr w:type="spellEnd"/>
            <w:r>
              <w:t xml:space="preserve">, Agata </w:t>
            </w:r>
            <w:proofErr w:type="spellStart"/>
            <w:r>
              <w:t>Jezernik</w:t>
            </w:r>
            <w:proofErr w:type="spellEnd"/>
            <w:r>
              <w:t xml:space="preserve"> i dr.</w:t>
            </w:r>
          </w:p>
        </w:tc>
        <w:tc>
          <w:tcPr>
            <w:tcW w:w="2410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Općina </w:t>
            </w:r>
            <w:proofErr w:type="spellStart"/>
            <w:r>
              <w:t>Vratišinec</w:t>
            </w:r>
            <w:proofErr w:type="spellEnd"/>
          </w:p>
        </w:tc>
        <w:tc>
          <w:tcPr>
            <w:tcW w:w="2354" w:type="dxa"/>
          </w:tcPr>
          <w:p w:rsidR="0046342D" w:rsidRDefault="0046342D" w:rsidP="0046342D">
            <w:pPr>
              <w:contextualSpacing/>
              <w:jc w:val="center"/>
            </w:pPr>
            <w:r>
              <w:t>Predaje u posjed nekretnine</w:t>
            </w:r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4.000,00 </w:t>
            </w:r>
            <w:proofErr w:type="spellStart"/>
            <w:r>
              <w:t>eur</w:t>
            </w:r>
            <w:proofErr w:type="spellEnd"/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>P-54/2021 (prije P-852/19)</w:t>
            </w:r>
          </w:p>
        </w:tc>
        <w:tc>
          <w:tcPr>
            <w:tcW w:w="1935" w:type="dxa"/>
          </w:tcPr>
          <w:p w:rsidR="0046342D" w:rsidRDefault="0046342D" w:rsidP="0046342D">
            <w:pPr>
              <w:contextualSpacing/>
              <w:jc w:val="center"/>
            </w:pPr>
            <w:r>
              <w:t>27.11.2019.g.</w:t>
            </w:r>
          </w:p>
          <w:p w:rsidR="0046342D" w:rsidRDefault="0046342D" w:rsidP="0046342D">
            <w:pPr>
              <w:contextualSpacing/>
              <w:jc w:val="center"/>
            </w:pPr>
          </w:p>
        </w:tc>
      </w:tr>
      <w:tr w:rsidR="0046342D" w:rsidTr="0046342D">
        <w:tc>
          <w:tcPr>
            <w:tcW w:w="846" w:type="dxa"/>
          </w:tcPr>
          <w:p w:rsidR="0046342D" w:rsidRDefault="0046342D" w:rsidP="0046342D">
            <w:pPr>
              <w:contextualSpacing/>
              <w:jc w:val="center"/>
            </w:pPr>
            <w:r>
              <w:t>3.</w:t>
            </w:r>
          </w:p>
        </w:tc>
        <w:tc>
          <w:tcPr>
            <w:tcW w:w="2126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Josip </w:t>
            </w:r>
            <w:proofErr w:type="spellStart"/>
            <w:r>
              <w:t>Jezernik</w:t>
            </w:r>
            <w:proofErr w:type="spellEnd"/>
            <w:r>
              <w:t xml:space="preserve"> i dr.</w:t>
            </w:r>
          </w:p>
        </w:tc>
        <w:tc>
          <w:tcPr>
            <w:tcW w:w="2410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Općina </w:t>
            </w:r>
            <w:proofErr w:type="spellStart"/>
            <w:r>
              <w:t>Vratišinec</w:t>
            </w:r>
            <w:proofErr w:type="spellEnd"/>
          </w:p>
        </w:tc>
        <w:tc>
          <w:tcPr>
            <w:tcW w:w="2354" w:type="dxa"/>
          </w:tcPr>
          <w:p w:rsidR="0046342D" w:rsidRDefault="0046342D" w:rsidP="0046342D">
            <w:pPr>
              <w:contextualSpacing/>
              <w:jc w:val="center"/>
            </w:pPr>
            <w:r>
              <w:t>Smetanja posjeda</w:t>
            </w:r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 xml:space="preserve">4.000,00 </w:t>
            </w:r>
            <w:proofErr w:type="spellStart"/>
            <w:r>
              <w:t>eur</w:t>
            </w:r>
            <w:proofErr w:type="spellEnd"/>
          </w:p>
        </w:tc>
        <w:tc>
          <w:tcPr>
            <w:tcW w:w="1934" w:type="dxa"/>
          </w:tcPr>
          <w:p w:rsidR="0046342D" w:rsidRDefault="0046342D" w:rsidP="0046342D">
            <w:pPr>
              <w:contextualSpacing/>
              <w:jc w:val="center"/>
            </w:pPr>
            <w:r>
              <w:t>Psp-15/2019</w:t>
            </w:r>
          </w:p>
        </w:tc>
        <w:tc>
          <w:tcPr>
            <w:tcW w:w="1935" w:type="dxa"/>
          </w:tcPr>
          <w:p w:rsidR="0046342D" w:rsidRDefault="0046342D" w:rsidP="0046342D">
            <w:pPr>
              <w:contextualSpacing/>
              <w:jc w:val="center"/>
            </w:pPr>
            <w:r>
              <w:t>05.11.2019.g.</w:t>
            </w:r>
          </w:p>
          <w:p w:rsidR="0046342D" w:rsidRDefault="0046342D" w:rsidP="0046342D">
            <w:pPr>
              <w:contextualSpacing/>
              <w:jc w:val="center"/>
            </w:pPr>
          </w:p>
        </w:tc>
      </w:tr>
    </w:tbl>
    <w:p w:rsidR="0046342D" w:rsidRDefault="0046342D" w:rsidP="0046342D">
      <w:pPr>
        <w:ind w:left="720"/>
        <w:jc w:val="center"/>
      </w:pPr>
    </w:p>
    <w:p w:rsidR="00B52980" w:rsidRDefault="00B52980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  <w:sectPr w:rsidR="0043670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16"/>
        <w:tblW w:w="15076" w:type="dxa"/>
        <w:tblLook w:val="04A0" w:firstRow="1" w:lastRow="0" w:firstColumn="1" w:lastColumn="0" w:noHBand="0" w:noVBand="1"/>
      </w:tblPr>
      <w:tblGrid>
        <w:gridCol w:w="709"/>
        <w:gridCol w:w="890"/>
        <w:gridCol w:w="1128"/>
        <w:gridCol w:w="1123"/>
        <w:gridCol w:w="1855"/>
        <w:gridCol w:w="1242"/>
        <w:gridCol w:w="965"/>
        <w:gridCol w:w="1299"/>
        <w:gridCol w:w="1510"/>
        <w:gridCol w:w="897"/>
        <w:gridCol w:w="1058"/>
        <w:gridCol w:w="1217"/>
        <w:gridCol w:w="1183"/>
      </w:tblGrid>
      <w:tr w:rsidR="00436707" w:rsidRPr="00436707" w:rsidTr="00302B89">
        <w:trPr>
          <w:trHeight w:val="294"/>
        </w:trPr>
        <w:tc>
          <w:tcPr>
            <w:tcW w:w="150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" w:name="RANGE!A1:M9"/>
            <w:r w:rsidRPr="00436707">
              <w:rPr>
                <w:b/>
                <w:bCs/>
                <w:color w:val="000000"/>
                <w:sz w:val="18"/>
                <w:szCs w:val="18"/>
              </w:rPr>
              <w:lastRenderedPageBreak/>
              <w:t>Dana jamstva</w:t>
            </w:r>
            <w:bookmarkEnd w:id="1"/>
          </w:p>
        </w:tc>
      </w:tr>
      <w:tr w:rsidR="00436707" w:rsidRPr="00436707" w:rsidTr="00302B89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Godina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Dužnik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Vjerovnik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iznos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vraćeno DA /NE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datum izdavanja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Svrha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KLASA: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URBROJ: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broj ovjere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dokument</w:t>
            </w:r>
          </w:p>
        </w:tc>
      </w:tr>
      <w:tr w:rsidR="00436707" w:rsidRPr="00436707" w:rsidTr="00302B89">
        <w:trPr>
          <w:trHeight w:val="1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Zadužnica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Međimurske vode d.o.o.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64.940,17 EUR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22.03.2024.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Osiguranje obveza po Sporazumu o sufinanciranju elementa projekta - Izgradnja produžetka kanalizacijske mreže s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precrpnom</w:t>
            </w:r>
            <w:proofErr w:type="spellEnd"/>
            <w:r w:rsidRPr="00436707">
              <w:rPr>
                <w:color w:val="000000"/>
                <w:sz w:val="18"/>
                <w:szCs w:val="18"/>
              </w:rPr>
              <w:t xml:space="preserve"> stanicom u Školskoj ulici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325-01/23-01/04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OV-1197/2024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T-18/2024</w:t>
            </w:r>
          </w:p>
        </w:tc>
      </w:tr>
      <w:tr w:rsidR="00436707" w:rsidRPr="00436707" w:rsidTr="00302B89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Ministarstvo regionalnog razvoja i fondova EU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15.05.2024.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uredno izvršenje obveza korisnika po Ugovoru o financiranju broj: 09-F-I-0467/24-20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340-09/24-01/01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OV-5211/2024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T-32/2024</w:t>
            </w:r>
          </w:p>
        </w:tc>
      </w:tr>
      <w:tr w:rsidR="00436707" w:rsidRPr="00436707" w:rsidTr="00302B89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20.000,00 EUR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20.05.2024.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OV-2011/2024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</w:tr>
      <w:tr w:rsidR="00436707" w:rsidRPr="00436707" w:rsidTr="00302B89">
        <w:trPr>
          <w:trHeight w:val="2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2024.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Bjanko zadužnica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20.05.2024.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OV-2012/2024</w:t>
            </w: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</w:tr>
      <w:tr w:rsidR="00436707" w:rsidRPr="00436707" w:rsidTr="00302B89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sz w:val="18"/>
                <w:szCs w:val="18"/>
              </w:rPr>
            </w:pPr>
          </w:p>
        </w:tc>
      </w:tr>
      <w:tr w:rsidR="00436707" w:rsidRPr="00436707" w:rsidTr="00302B89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Ukupno u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izvanbilančnoj</w:t>
            </w:r>
            <w:proofErr w:type="spellEnd"/>
            <w:r w:rsidRPr="00436707">
              <w:rPr>
                <w:color w:val="000000"/>
                <w:sz w:val="18"/>
                <w:szCs w:val="18"/>
              </w:rPr>
              <w:t xml:space="preserve"> evidenciji 2024.: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104.940,17 EUR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36707" w:rsidRPr="00436707" w:rsidRDefault="00436707" w:rsidP="004367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707" w:rsidRPr="00436707" w:rsidRDefault="00436707" w:rsidP="00436707">
            <w:pPr>
              <w:rPr>
                <w:sz w:val="18"/>
                <w:szCs w:val="18"/>
              </w:rPr>
            </w:pPr>
          </w:p>
        </w:tc>
      </w:tr>
    </w:tbl>
    <w:p w:rsidR="00436707" w:rsidRPr="00436707" w:rsidRDefault="00436707" w:rsidP="00B52980">
      <w:pPr>
        <w:jc w:val="both"/>
        <w:rPr>
          <w:sz w:val="18"/>
          <w:szCs w:val="18"/>
        </w:rPr>
      </w:pPr>
    </w:p>
    <w:p w:rsidR="00436707" w:rsidRPr="00436707" w:rsidRDefault="00436707" w:rsidP="00B52980">
      <w:pPr>
        <w:jc w:val="both"/>
        <w:rPr>
          <w:sz w:val="18"/>
          <w:szCs w:val="18"/>
        </w:rPr>
      </w:pPr>
    </w:p>
    <w:p w:rsidR="00436707" w:rsidRP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XSpec="right" w:tblpY="-983"/>
        <w:tblW w:w="14626" w:type="dxa"/>
        <w:tblLook w:val="04A0" w:firstRow="1" w:lastRow="0" w:firstColumn="1" w:lastColumn="0" w:noHBand="0" w:noVBand="1"/>
      </w:tblPr>
      <w:tblGrid>
        <w:gridCol w:w="1373"/>
        <w:gridCol w:w="1219"/>
        <w:gridCol w:w="1275"/>
        <w:gridCol w:w="1275"/>
        <w:gridCol w:w="3300"/>
        <w:gridCol w:w="906"/>
        <w:gridCol w:w="1038"/>
        <w:gridCol w:w="1784"/>
        <w:gridCol w:w="1275"/>
        <w:gridCol w:w="1181"/>
      </w:tblGrid>
      <w:tr w:rsidR="00CE4CDF" w:rsidRPr="00436707" w:rsidTr="00CE4CDF">
        <w:trPr>
          <w:trHeight w:val="250"/>
        </w:trPr>
        <w:tc>
          <w:tcPr>
            <w:tcW w:w="14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Instrumenti osiguranja plaćanja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Vjerovnik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iznos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vraćeno DA /NE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Datum primitka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Svrha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KLASA: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URBROJ: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broj ovjere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6707">
              <w:rPr>
                <w:b/>
                <w:bCs/>
                <w:color w:val="000000"/>
                <w:sz w:val="18"/>
                <w:szCs w:val="18"/>
              </w:rPr>
              <w:t>Dokument</w:t>
            </w:r>
          </w:p>
        </w:tc>
      </w:tr>
      <w:tr w:rsidR="00CE4CDF" w:rsidRPr="00436707" w:rsidTr="00CE4CDF">
        <w:trPr>
          <w:trHeight w:val="501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28.02.2024.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uklanjanje uvjetovanih nedostataka po zapisniku o tehničkom pregledu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325-01/18-01/06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2109/19-02-24-157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OV-1787/2024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T-18/24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DA, 03.12.2024.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23.05.2024.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Jamstvo za uredno izvršenje ugovora Uređenje centra naselja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  <w:r w:rsidRPr="00436707">
              <w:rPr>
                <w:color w:val="000000"/>
                <w:sz w:val="18"/>
                <w:szCs w:val="18"/>
              </w:rPr>
              <w:t xml:space="preserve"> - 2.faza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363-01/22-01/11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2109/19-03-24-47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OV-5085/2024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60 dana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T-34/24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1.000,00 EUR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23.05.2024.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otklanjanje nedostataka u jamstvenom roku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404-01/23-01/03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2109/19-03-24-21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OV-3274/2023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15.05.2026.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T-34/24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2.000,00 EUR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OV-3276/2023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CE4CDF">
        <w:trPr>
          <w:trHeight w:val="576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9.640,15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DA, 21.10.2024.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26.06.2024.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Garancija za dobro izvršenje posla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406-01/24-01/04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Garancija br. 4101154674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02.10.2024.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T-44/24, T-71/24</w:t>
            </w:r>
          </w:p>
        </w:tc>
      </w:tr>
      <w:tr w:rsidR="00CE4CDF" w:rsidRPr="00436707" w:rsidTr="00CE4CDF">
        <w:trPr>
          <w:trHeight w:val="576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DA, 24.10.2024.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21.08.2024.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Jamstvo za dobro izvršenje posla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402-07/24-01/05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2109/19-03-24-9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OV-4338/2024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30.09.2024.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T-70/24, T-72/24</w:t>
            </w:r>
          </w:p>
        </w:tc>
      </w:tr>
      <w:tr w:rsidR="00CE4CDF" w:rsidRPr="00436707" w:rsidTr="00CE4CDF">
        <w:trPr>
          <w:trHeight w:val="501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9.640,15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19.09.2024.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otklanjanje nedostataka u jamstvenom roku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406-01/24-01/04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Garancija br. 4101163527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03.10.2028.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T-70/24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367,75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17.10.2024.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otklanjanje nedostataka u jamstvenom roku</w:t>
            </w: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uplata na žiroračun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Z-252/24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117.622,15 EUR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DA, 18.12.2024.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01.01.2024.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uredno izvršenje posla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601-01/22-01/02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2109/19-03-23-64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Garancija br. 456/2023-G-DPVPJS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30.11.2024.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T-70/24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30.01.2024.</w:t>
            </w: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601-01/22-01/02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2109/19-03-23-73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Dodatak 1. garanciji br. 456/2023-G-DPVPJS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03.12.2024.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992,88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DA, 19.12.2024.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07.06.2024.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uredno izvršenje posla po Aneksu 1.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uplata na žiroračun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03.12.2024.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Z-127/24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1.743,82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DA, 19.12.2024.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18.10.2024.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uredno izvršenje posla po Aneksu 2.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uplata na žiroračun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03.12.2024.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Z-253/24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28.10.2024.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uredno ispunjenje ugovora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340-03/22-01/01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2109/19-03-24-24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OV-3923/2024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16.04.2025.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T-73/24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340-03/22-01/01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2109/19-03-24-25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broj; OV-929/2024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113.260,69 EUR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05.11.2024.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osiguranje otklanjanje nedostataka u garantnom roku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601-01/22-01/04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2109/19-02-24-136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Garancija br.539/2024-G-DPVPJS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30.11.2029.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T-77/24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04.12.2024.</w:t>
            </w: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601-01/22-01/04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2109/19-02-24-137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Dodatak 1. garanciji broj 539/2024-G-DPVPJS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10.000,00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01.12.2024.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uredno ispunjenje ugovora o koncesiji dimnjačarski poslovi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363-02/24-01/02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OV-999/2024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01.12.2029.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T/83/24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lastRenderedPageBreak/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ispunjenje obveza iz Ugovora o dodjeli poticaja za kupnju nekretnine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402-08/24-01/04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OV-2359/2024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12.12.2034.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T-89/24</w:t>
            </w: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ispunjenje obveza iz Ugovora o dodjeli poticaja za kupnju nekretnine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402-08/24-01/04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OV-1174/2024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12.12.2034.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ispunjenje obveza iz Ugovora o dodjeli poticaja za kupnju nekretnine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402-08/24-01/04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OV-4223/2024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12.12.2034.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CE4CDF">
        <w:trPr>
          <w:trHeight w:val="250"/>
        </w:trPr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Općina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Vratišinec</w:t>
            </w:r>
            <w:proofErr w:type="spell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2.000,00 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12.12.2024.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Jamstvo za ispunjenje obveza iz Ugovora o dodjeli poticaja za gradnju nekretnine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402-08/24-01/04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2109/19-02-24-12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Poslovni broj: OV-4270/2024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12.12.2034.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CDF" w:rsidRPr="00436707" w:rsidRDefault="00CE4CDF" w:rsidP="00CE4CDF">
            <w:pPr>
              <w:rPr>
                <w:color w:val="000000"/>
                <w:sz w:val="18"/>
                <w:szCs w:val="18"/>
              </w:rPr>
            </w:pPr>
          </w:p>
        </w:tc>
      </w:tr>
      <w:tr w:rsidR="00CE4CDF" w:rsidRPr="00436707" w:rsidTr="00302B89">
        <w:trPr>
          <w:trHeight w:val="250"/>
        </w:trPr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 xml:space="preserve">ukupno u </w:t>
            </w:r>
            <w:proofErr w:type="spellStart"/>
            <w:r w:rsidRPr="00436707">
              <w:rPr>
                <w:color w:val="000000"/>
                <w:sz w:val="18"/>
                <w:szCs w:val="18"/>
              </w:rPr>
              <w:t>izvanbilačnoj</w:t>
            </w:r>
            <w:proofErr w:type="spellEnd"/>
            <w:r w:rsidRPr="00436707">
              <w:rPr>
                <w:color w:val="000000"/>
                <w:sz w:val="18"/>
                <w:szCs w:val="18"/>
              </w:rPr>
              <w:t xml:space="preserve"> evidenciji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  <w:r w:rsidRPr="00436707">
              <w:rPr>
                <w:color w:val="000000"/>
                <w:sz w:val="18"/>
                <w:szCs w:val="18"/>
              </w:rPr>
              <w:t>173.900,84 EUR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CDF" w:rsidRPr="00436707" w:rsidRDefault="00CE4CDF" w:rsidP="00CE4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DF" w:rsidRPr="00436707" w:rsidRDefault="00CE4CDF" w:rsidP="00CE4CDF">
            <w:pPr>
              <w:rPr>
                <w:sz w:val="18"/>
                <w:szCs w:val="18"/>
              </w:rPr>
            </w:pPr>
          </w:p>
        </w:tc>
      </w:tr>
    </w:tbl>
    <w:p w:rsid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  <w:rPr>
          <w:sz w:val="18"/>
          <w:szCs w:val="18"/>
        </w:rPr>
      </w:pPr>
    </w:p>
    <w:p w:rsidR="00436707" w:rsidRPr="00436707" w:rsidRDefault="00436707" w:rsidP="00B52980">
      <w:pPr>
        <w:jc w:val="both"/>
        <w:rPr>
          <w:sz w:val="18"/>
          <w:szCs w:val="18"/>
        </w:rPr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436707" w:rsidRDefault="00436707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</w:p>
    <w:p w:rsidR="00CE4CDF" w:rsidRDefault="00CE4CDF" w:rsidP="00B52980">
      <w:pPr>
        <w:jc w:val="both"/>
      </w:pPr>
      <w:r>
        <w:tab/>
        <w:t xml:space="preserve">Izradila: Magdalena </w:t>
      </w:r>
      <w:proofErr w:type="spellStart"/>
      <w:r>
        <w:t>Šoltić</w:t>
      </w:r>
      <w:proofErr w:type="spellEnd"/>
    </w:p>
    <w:p w:rsidR="00436707" w:rsidRDefault="00436707" w:rsidP="00B52980">
      <w:pPr>
        <w:jc w:val="both"/>
      </w:pPr>
    </w:p>
    <w:p w:rsidR="00CE4CDF" w:rsidRDefault="00CE4CDF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436707">
      <w:pPr>
        <w:jc w:val="right"/>
      </w:pPr>
      <w:r>
        <w:t>Odgovorna osoba:</w:t>
      </w:r>
    </w:p>
    <w:p w:rsidR="00436707" w:rsidRDefault="00436707" w:rsidP="00436707">
      <w:pPr>
        <w:jc w:val="right"/>
      </w:pPr>
      <w:r>
        <w:t xml:space="preserve">Načelnik Mihael </w:t>
      </w:r>
      <w:proofErr w:type="spellStart"/>
      <w:r>
        <w:t>Grbavec</w:t>
      </w:r>
      <w:proofErr w:type="spellEnd"/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p w:rsidR="00436707" w:rsidRDefault="00436707" w:rsidP="00B52980">
      <w:pPr>
        <w:jc w:val="both"/>
      </w:pPr>
    </w:p>
    <w:sectPr w:rsidR="00436707" w:rsidSect="0043670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4CD" w:rsidRDefault="00A124CD" w:rsidP="00AE43F8">
      <w:r>
        <w:separator/>
      </w:r>
    </w:p>
  </w:endnote>
  <w:endnote w:type="continuationSeparator" w:id="0">
    <w:p w:rsidR="00A124CD" w:rsidRDefault="00A124CD" w:rsidP="00AE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Default="0043670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5210085"/>
      <w:docPartObj>
        <w:docPartGallery w:val="Page Numbers (Bottom of Page)"/>
        <w:docPartUnique/>
      </w:docPartObj>
    </w:sdtPr>
    <w:sdtEndPr/>
    <w:sdtContent>
      <w:p w:rsidR="00436707" w:rsidRDefault="0043670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" name="Pravoku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707" w:rsidRDefault="0043670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24839">
                                <w:rPr>
                                  <w:noProof/>
                                </w:rPr>
                                <w:t>12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CmYS0P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436707" w:rsidRDefault="0043670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24839">
                          <w:rPr>
                            <w:noProof/>
                          </w:rPr>
                          <w:t>12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Default="0043670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4CD" w:rsidRDefault="00A124CD" w:rsidP="00AE43F8">
      <w:r>
        <w:separator/>
      </w:r>
    </w:p>
  </w:footnote>
  <w:footnote w:type="continuationSeparator" w:id="0">
    <w:p w:rsidR="00A124CD" w:rsidRDefault="00A124CD" w:rsidP="00AE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Default="0043670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Default="00436707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07" w:rsidRDefault="00436707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E3ECE"/>
    <w:multiLevelType w:val="hybridMultilevel"/>
    <w:tmpl w:val="D22A1940"/>
    <w:lvl w:ilvl="0" w:tplc="2C9A9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10B70"/>
    <w:multiLevelType w:val="hybridMultilevel"/>
    <w:tmpl w:val="EF66DD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5095"/>
    <w:multiLevelType w:val="hybridMultilevel"/>
    <w:tmpl w:val="71207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0E21"/>
    <w:multiLevelType w:val="hybridMultilevel"/>
    <w:tmpl w:val="599AE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274F"/>
    <w:multiLevelType w:val="hybridMultilevel"/>
    <w:tmpl w:val="88F49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6621D"/>
    <w:multiLevelType w:val="hybridMultilevel"/>
    <w:tmpl w:val="A86013EC"/>
    <w:lvl w:ilvl="0" w:tplc="4B0EA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630C4"/>
    <w:multiLevelType w:val="hybridMultilevel"/>
    <w:tmpl w:val="2642F434"/>
    <w:lvl w:ilvl="0" w:tplc="7E54E9E8">
      <w:start w:val="1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A2DFC"/>
    <w:multiLevelType w:val="hybridMultilevel"/>
    <w:tmpl w:val="03CAA4B0"/>
    <w:lvl w:ilvl="0" w:tplc="D346D60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23B476E1"/>
    <w:multiLevelType w:val="multilevel"/>
    <w:tmpl w:val="BAAE3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26746840"/>
    <w:multiLevelType w:val="hybridMultilevel"/>
    <w:tmpl w:val="248A3AE2"/>
    <w:lvl w:ilvl="0" w:tplc="B0A2C1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7390F"/>
    <w:multiLevelType w:val="hybridMultilevel"/>
    <w:tmpl w:val="886891EE"/>
    <w:lvl w:ilvl="0" w:tplc="96EA3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552"/>
    <w:multiLevelType w:val="hybridMultilevel"/>
    <w:tmpl w:val="7208228A"/>
    <w:lvl w:ilvl="0" w:tplc="FE64E8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7F4B2D"/>
    <w:multiLevelType w:val="hybridMultilevel"/>
    <w:tmpl w:val="0B16B792"/>
    <w:lvl w:ilvl="0" w:tplc="EC82B4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8F1DCB"/>
    <w:multiLevelType w:val="hybridMultilevel"/>
    <w:tmpl w:val="811A2C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B322C"/>
    <w:multiLevelType w:val="hybridMultilevel"/>
    <w:tmpl w:val="3A58A2FE"/>
    <w:lvl w:ilvl="0" w:tplc="30C6AA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F6F20"/>
    <w:multiLevelType w:val="hybridMultilevel"/>
    <w:tmpl w:val="E548AD1E"/>
    <w:lvl w:ilvl="0" w:tplc="ADB44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B52AB"/>
    <w:multiLevelType w:val="hybridMultilevel"/>
    <w:tmpl w:val="E8EE9C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C1B46"/>
    <w:multiLevelType w:val="hybridMultilevel"/>
    <w:tmpl w:val="E410D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A782F"/>
    <w:multiLevelType w:val="hybridMultilevel"/>
    <w:tmpl w:val="FDE02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57B62"/>
    <w:multiLevelType w:val="hybridMultilevel"/>
    <w:tmpl w:val="7E7CF5E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40A7E"/>
    <w:multiLevelType w:val="hybridMultilevel"/>
    <w:tmpl w:val="A4361B5C"/>
    <w:lvl w:ilvl="0" w:tplc="C0529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35522"/>
    <w:multiLevelType w:val="hybridMultilevel"/>
    <w:tmpl w:val="C3C86CAA"/>
    <w:lvl w:ilvl="0" w:tplc="02886B2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0660280"/>
    <w:multiLevelType w:val="hybridMultilevel"/>
    <w:tmpl w:val="A1EED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13436"/>
    <w:multiLevelType w:val="hybridMultilevel"/>
    <w:tmpl w:val="D4A69B5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5036C"/>
    <w:multiLevelType w:val="hybridMultilevel"/>
    <w:tmpl w:val="3C6E9C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70DA4"/>
    <w:multiLevelType w:val="hybridMultilevel"/>
    <w:tmpl w:val="396E7D5E"/>
    <w:lvl w:ilvl="0" w:tplc="E0803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56FD2"/>
    <w:multiLevelType w:val="hybridMultilevel"/>
    <w:tmpl w:val="BD6EB01C"/>
    <w:lvl w:ilvl="0" w:tplc="93F0F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44792"/>
    <w:multiLevelType w:val="hybridMultilevel"/>
    <w:tmpl w:val="4364A2D8"/>
    <w:lvl w:ilvl="0" w:tplc="3330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834DD"/>
    <w:multiLevelType w:val="hybridMultilevel"/>
    <w:tmpl w:val="2C6693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20"/>
  </w:num>
  <w:num w:numId="5">
    <w:abstractNumId w:val="19"/>
  </w:num>
  <w:num w:numId="6">
    <w:abstractNumId w:val="27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25"/>
  </w:num>
  <w:num w:numId="12">
    <w:abstractNumId w:val="26"/>
  </w:num>
  <w:num w:numId="13">
    <w:abstractNumId w:val="12"/>
  </w:num>
  <w:num w:numId="14">
    <w:abstractNumId w:val="7"/>
  </w:num>
  <w:num w:numId="15">
    <w:abstractNumId w:val="21"/>
  </w:num>
  <w:num w:numId="16">
    <w:abstractNumId w:val="24"/>
  </w:num>
  <w:num w:numId="17">
    <w:abstractNumId w:val="6"/>
  </w:num>
  <w:num w:numId="18">
    <w:abstractNumId w:val="11"/>
  </w:num>
  <w:num w:numId="19">
    <w:abstractNumId w:val="16"/>
  </w:num>
  <w:num w:numId="20">
    <w:abstractNumId w:val="9"/>
  </w:num>
  <w:num w:numId="21">
    <w:abstractNumId w:val="23"/>
  </w:num>
  <w:num w:numId="22">
    <w:abstractNumId w:val="18"/>
  </w:num>
  <w:num w:numId="23">
    <w:abstractNumId w:val="1"/>
  </w:num>
  <w:num w:numId="24">
    <w:abstractNumId w:val="28"/>
  </w:num>
  <w:num w:numId="25">
    <w:abstractNumId w:val="13"/>
  </w:num>
  <w:num w:numId="26">
    <w:abstractNumId w:val="0"/>
  </w:num>
  <w:num w:numId="27">
    <w:abstractNumId w:val="22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E1"/>
    <w:rsid w:val="00017059"/>
    <w:rsid w:val="00024EC1"/>
    <w:rsid w:val="000303C4"/>
    <w:rsid w:val="00035A0E"/>
    <w:rsid w:val="00036416"/>
    <w:rsid w:val="00050887"/>
    <w:rsid w:val="000572F3"/>
    <w:rsid w:val="00062905"/>
    <w:rsid w:val="000646FB"/>
    <w:rsid w:val="00073F1C"/>
    <w:rsid w:val="00077ECA"/>
    <w:rsid w:val="000804D2"/>
    <w:rsid w:val="00081C3C"/>
    <w:rsid w:val="00092FC9"/>
    <w:rsid w:val="000A6CD7"/>
    <w:rsid w:val="000B0974"/>
    <w:rsid w:val="000B163E"/>
    <w:rsid w:val="000B5C5D"/>
    <w:rsid w:val="000B6C48"/>
    <w:rsid w:val="000B75E4"/>
    <w:rsid w:val="000C1097"/>
    <w:rsid w:val="000E03A3"/>
    <w:rsid w:val="00122D16"/>
    <w:rsid w:val="001328CD"/>
    <w:rsid w:val="00140B9F"/>
    <w:rsid w:val="0014782D"/>
    <w:rsid w:val="00154A20"/>
    <w:rsid w:val="0015530E"/>
    <w:rsid w:val="00156575"/>
    <w:rsid w:val="00161321"/>
    <w:rsid w:val="001968AD"/>
    <w:rsid w:val="001A206B"/>
    <w:rsid w:val="001B0722"/>
    <w:rsid w:val="001B45DC"/>
    <w:rsid w:val="001B4CB1"/>
    <w:rsid w:val="001F433F"/>
    <w:rsid w:val="00205FBB"/>
    <w:rsid w:val="0021072E"/>
    <w:rsid w:val="00222ABF"/>
    <w:rsid w:val="002307AC"/>
    <w:rsid w:val="00282CD8"/>
    <w:rsid w:val="00282D00"/>
    <w:rsid w:val="0028657C"/>
    <w:rsid w:val="00291B91"/>
    <w:rsid w:val="002C07D0"/>
    <w:rsid w:val="002E7F01"/>
    <w:rsid w:val="0030293E"/>
    <w:rsid w:val="00302B89"/>
    <w:rsid w:val="003154C2"/>
    <w:rsid w:val="003166BF"/>
    <w:rsid w:val="0032062F"/>
    <w:rsid w:val="003238EB"/>
    <w:rsid w:val="00327378"/>
    <w:rsid w:val="00343B65"/>
    <w:rsid w:val="00344B25"/>
    <w:rsid w:val="00346565"/>
    <w:rsid w:val="0038276A"/>
    <w:rsid w:val="00387536"/>
    <w:rsid w:val="00390368"/>
    <w:rsid w:val="00397302"/>
    <w:rsid w:val="003A46AA"/>
    <w:rsid w:val="003B2497"/>
    <w:rsid w:val="003C111F"/>
    <w:rsid w:val="003D2BD5"/>
    <w:rsid w:val="003D575E"/>
    <w:rsid w:val="003E2715"/>
    <w:rsid w:val="00410743"/>
    <w:rsid w:val="00436662"/>
    <w:rsid w:val="00436707"/>
    <w:rsid w:val="00447A99"/>
    <w:rsid w:val="00462AF8"/>
    <w:rsid w:val="0046342D"/>
    <w:rsid w:val="004766EB"/>
    <w:rsid w:val="004858CC"/>
    <w:rsid w:val="004A26A2"/>
    <w:rsid w:val="004E1512"/>
    <w:rsid w:val="004E1897"/>
    <w:rsid w:val="004E4060"/>
    <w:rsid w:val="004F63E5"/>
    <w:rsid w:val="005105F5"/>
    <w:rsid w:val="00513345"/>
    <w:rsid w:val="005162DC"/>
    <w:rsid w:val="0051634B"/>
    <w:rsid w:val="0052258A"/>
    <w:rsid w:val="00535423"/>
    <w:rsid w:val="005445D4"/>
    <w:rsid w:val="005623C8"/>
    <w:rsid w:val="00566120"/>
    <w:rsid w:val="005912AD"/>
    <w:rsid w:val="005A0339"/>
    <w:rsid w:val="005B0617"/>
    <w:rsid w:val="005B495F"/>
    <w:rsid w:val="005B6963"/>
    <w:rsid w:val="005C08B8"/>
    <w:rsid w:val="005C4088"/>
    <w:rsid w:val="005E3F0F"/>
    <w:rsid w:val="005E6E60"/>
    <w:rsid w:val="005F7AAF"/>
    <w:rsid w:val="006123CE"/>
    <w:rsid w:val="00615ABD"/>
    <w:rsid w:val="00616C30"/>
    <w:rsid w:val="00620BFB"/>
    <w:rsid w:val="006219F7"/>
    <w:rsid w:val="00630C90"/>
    <w:rsid w:val="0065162E"/>
    <w:rsid w:val="0065582F"/>
    <w:rsid w:val="00664234"/>
    <w:rsid w:val="0067047A"/>
    <w:rsid w:val="00671B6F"/>
    <w:rsid w:val="00676CAB"/>
    <w:rsid w:val="0068740C"/>
    <w:rsid w:val="006C2DC9"/>
    <w:rsid w:val="006C415A"/>
    <w:rsid w:val="006C7698"/>
    <w:rsid w:val="006E05F5"/>
    <w:rsid w:val="006F269E"/>
    <w:rsid w:val="0070070C"/>
    <w:rsid w:val="007815BA"/>
    <w:rsid w:val="00783531"/>
    <w:rsid w:val="00792AAD"/>
    <w:rsid w:val="007B50E9"/>
    <w:rsid w:val="007F1E14"/>
    <w:rsid w:val="007F53C4"/>
    <w:rsid w:val="00805B21"/>
    <w:rsid w:val="008218FA"/>
    <w:rsid w:val="00841FB4"/>
    <w:rsid w:val="0084504D"/>
    <w:rsid w:val="0087337D"/>
    <w:rsid w:val="00885C5E"/>
    <w:rsid w:val="00897D7A"/>
    <w:rsid w:val="008A6B41"/>
    <w:rsid w:val="008C33BB"/>
    <w:rsid w:val="008D4015"/>
    <w:rsid w:val="008E128D"/>
    <w:rsid w:val="008F15BB"/>
    <w:rsid w:val="009047E5"/>
    <w:rsid w:val="00906CB0"/>
    <w:rsid w:val="009217CB"/>
    <w:rsid w:val="00931F9D"/>
    <w:rsid w:val="00951941"/>
    <w:rsid w:val="00953FEB"/>
    <w:rsid w:val="00955AFA"/>
    <w:rsid w:val="00955B67"/>
    <w:rsid w:val="009873D0"/>
    <w:rsid w:val="009B4186"/>
    <w:rsid w:val="009C1CEC"/>
    <w:rsid w:val="009E7BDE"/>
    <w:rsid w:val="009F4249"/>
    <w:rsid w:val="009F75EA"/>
    <w:rsid w:val="00A04267"/>
    <w:rsid w:val="00A124CD"/>
    <w:rsid w:val="00A21F83"/>
    <w:rsid w:val="00A453B2"/>
    <w:rsid w:val="00A45CCC"/>
    <w:rsid w:val="00A55881"/>
    <w:rsid w:val="00A633C7"/>
    <w:rsid w:val="00A77B26"/>
    <w:rsid w:val="00A84554"/>
    <w:rsid w:val="00AA5F30"/>
    <w:rsid w:val="00AB5106"/>
    <w:rsid w:val="00AB7448"/>
    <w:rsid w:val="00AE43F8"/>
    <w:rsid w:val="00AE5753"/>
    <w:rsid w:val="00AF5BE1"/>
    <w:rsid w:val="00B03541"/>
    <w:rsid w:val="00B10ADB"/>
    <w:rsid w:val="00B143F1"/>
    <w:rsid w:val="00B24839"/>
    <w:rsid w:val="00B34B0C"/>
    <w:rsid w:val="00B35E60"/>
    <w:rsid w:val="00B52980"/>
    <w:rsid w:val="00B8413D"/>
    <w:rsid w:val="00B934FD"/>
    <w:rsid w:val="00BC4688"/>
    <w:rsid w:val="00BC66B1"/>
    <w:rsid w:val="00BE386A"/>
    <w:rsid w:val="00C11402"/>
    <w:rsid w:val="00C21483"/>
    <w:rsid w:val="00C3043B"/>
    <w:rsid w:val="00C42E63"/>
    <w:rsid w:val="00C474A5"/>
    <w:rsid w:val="00C74F65"/>
    <w:rsid w:val="00C81E2F"/>
    <w:rsid w:val="00C83A52"/>
    <w:rsid w:val="00C95B21"/>
    <w:rsid w:val="00CB53F1"/>
    <w:rsid w:val="00CE4CDF"/>
    <w:rsid w:val="00CE7579"/>
    <w:rsid w:val="00CF299D"/>
    <w:rsid w:val="00D22B89"/>
    <w:rsid w:val="00D268C9"/>
    <w:rsid w:val="00D3058B"/>
    <w:rsid w:val="00D33DE7"/>
    <w:rsid w:val="00D37E29"/>
    <w:rsid w:val="00D404FD"/>
    <w:rsid w:val="00D548C0"/>
    <w:rsid w:val="00D57245"/>
    <w:rsid w:val="00D716A9"/>
    <w:rsid w:val="00D77D2A"/>
    <w:rsid w:val="00D8159C"/>
    <w:rsid w:val="00D91CD9"/>
    <w:rsid w:val="00DA369D"/>
    <w:rsid w:val="00DC2CA1"/>
    <w:rsid w:val="00DC53DB"/>
    <w:rsid w:val="00DE6BD7"/>
    <w:rsid w:val="00E01E74"/>
    <w:rsid w:val="00E04F60"/>
    <w:rsid w:val="00E52994"/>
    <w:rsid w:val="00E548D7"/>
    <w:rsid w:val="00E65B36"/>
    <w:rsid w:val="00E82AB2"/>
    <w:rsid w:val="00E92EBA"/>
    <w:rsid w:val="00E96184"/>
    <w:rsid w:val="00EA1C2A"/>
    <w:rsid w:val="00EA7DC1"/>
    <w:rsid w:val="00EB618C"/>
    <w:rsid w:val="00ED265B"/>
    <w:rsid w:val="00ED30BE"/>
    <w:rsid w:val="00EE12BB"/>
    <w:rsid w:val="00EE59C6"/>
    <w:rsid w:val="00F060BB"/>
    <w:rsid w:val="00F20494"/>
    <w:rsid w:val="00F32AAC"/>
    <w:rsid w:val="00F6371F"/>
    <w:rsid w:val="00F64325"/>
    <w:rsid w:val="00F75137"/>
    <w:rsid w:val="00F848D7"/>
    <w:rsid w:val="00F85B1E"/>
    <w:rsid w:val="00F87279"/>
    <w:rsid w:val="00FA40EE"/>
    <w:rsid w:val="00FB07F0"/>
    <w:rsid w:val="00FB3D86"/>
    <w:rsid w:val="00FD405E"/>
    <w:rsid w:val="00FE6544"/>
    <w:rsid w:val="00FF06B6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7E7724-279A-4DC9-8B0D-95A67B3B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1B45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Kartadokumenta">
    <w:name w:val="Document Map"/>
    <w:basedOn w:val="Normal"/>
    <w:semiHidden/>
    <w:rsid w:val="00327378"/>
    <w:pPr>
      <w:shd w:val="clear" w:color="auto" w:fill="000080"/>
    </w:pPr>
    <w:rPr>
      <w:rFonts w:ascii="Tahoma" w:hAnsi="Tahoma" w:cs="Tahoma"/>
    </w:rPr>
  </w:style>
  <w:style w:type="paragraph" w:styleId="Tekstbalonia">
    <w:name w:val="Balloon Text"/>
    <w:basedOn w:val="Normal"/>
    <w:semiHidden/>
    <w:rsid w:val="009217C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link w:val="Zaglavlje"/>
    <w:uiPriority w:val="99"/>
    <w:rsid w:val="00AE43F8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E43F8"/>
    <w:pPr>
      <w:tabs>
        <w:tab w:val="center" w:pos="4703"/>
        <w:tab w:val="right" w:pos="9406"/>
      </w:tabs>
    </w:pPr>
  </w:style>
  <w:style w:type="character" w:customStyle="1" w:styleId="PodnojeChar">
    <w:name w:val="Podnožje Char"/>
    <w:link w:val="Podnoje"/>
    <w:uiPriority w:val="99"/>
    <w:rsid w:val="00AE43F8"/>
    <w:rPr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E04F6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B45DC"/>
    <w:rPr>
      <w:b/>
      <w:bCs/>
      <w:kern w:val="36"/>
      <w:sz w:val="48"/>
      <w:szCs w:val="48"/>
      <w:lang w:val="hr-HR" w:eastAsia="hr-HR"/>
    </w:rPr>
  </w:style>
  <w:style w:type="table" w:styleId="Reetkatablice">
    <w:name w:val="Table Grid"/>
    <w:basedOn w:val="Obinatablica"/>
    <w:uiPriority w:val="39"/>
    <w:rsid w:val="009C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A84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12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22982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korisnik</dc:creator>
  <cp:keywords/>
  <dc:description/>
  <cp:lastModifiedBy>Administrator</cp:lastModifiedBy>
  <cp:revision>4</cp:revision>
  <cp:lastPrinted>2020-05-07T08:18:00Z</cp:lastPrinted>
  <dcterms:created xsi:type="dcterms:W3CDTF">2025-02-11T08:28:00Z</dcterms:created>
  <dcterms:modified xsi:type="dcterms:W3CDTF">2025-02-12T11:50:00Z</dcterms:modified>
</cp:coreProperties>
</file>