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A6C09" w14:paraId="1AA0B7F6" w14:textId="77777777">
        <w:tblPrEx>
          <w:tblCellMar>
            <w:top w:w="0" w:type="dxa"/>
            <w:bottom w:w="0" w:type="dxa"/>
          </w:tblCellMar>
        </w:tblPrEx>
        <w:trPr>
          <w:tblCellSpacing w:w="60" w:type="dxa"/>
        </w:trPr>
        <w:tc>
          <w:tcPr>
            <w:tcW w:w="1200" w:type="pct"/>
            <w:shd w:val="clear" w:color="auto" w:fill="E7F0F9"/>
          </w:tcPr>
          <w:p w14:paraId="0991EC15" w14:textId="77777777" w:rsidR="005A6C09" w:rsidRDefault="00000000">
            <w:pPr>
              <w:spacing w:after="0" w:line="240" w:lineRule="auto"/>
            </w:pPr>
            <w:r>
              <w:rPr>
                <w:b/>
              </w:rPr>
              <w:t>RKP broj</w:t>
            </w:r>
          </w:p>
        </w:tc>
        <w:tc>
          <w:tcPr>
            <w:tcW w:w="0" w:type="auto"/>
            <w:shd w:val="clear" w:color="auto" w:fill="E7F0F9"/>
          </w:tcPr>
          <w:p w14:paraId="3E1A8658" w14:textId="77777777" w:rsidR="005A6C09" w:rsidRDefault="00000000">
            <w:pPr>
              <w:spacing w:after="0" w:line="240" w:lineRule="auto"/>
            </w:pPr>
            <w:r>
              <w:t>33618</w:t>
            </w:r>
          </w:p>
        </w:tc>
      </w:tr>
      <w:tr w:rsidR="005A6C09" w14:paraId="25202B0D" w14:textId="77777777">
        <w:tblPrEx>
          <w:tblCellMar>
            <w:top w:w="0" w:type="dxa"/>
            <w:bottom w:w="0" w:type="dxa"/>
          </w:tblCellMar>
        </w:tblPrEx>
        <w:trPr>
          <w:tblCellSpacing w:w="60" w:type="dxa"/>
        </w:trPr>
        <w:tc>
          <w:tcPr>
            <w:tcW w:w="1200" w:type="pct"/>
            <w:shd w:val="clear" w:color="auto" w:fill="E7F0F9"/>
          </w:tcPr>
          <w:p w14:paraId="22BE119D" w14:textId="77777777" w:rsidR="005A6C09" w:rsidRDefault="00000000">
            <w:pPr>
              <w:spacing w:after="0" w:line="240" w:lineRule="auto"/>
            </w:pPr>
            <w:r>
              <w:rPr>
                <w:b/>
              </w:rPr>
              <w:t>Naziv obveznika</w:t>
            </w:r>
          </w:p>
        </w:tc>
        <w:tc>
          <w:tcPr>
            <w:tcW w:w="0" w:type="auto"/>
            <w:shd w:val="clear" w:color="auto" w:fill="E7F0F9"/>
          </w:tcPr>
          <w:p w14:paraId="70B6852E" w14:textId="77777777" w:rsidR="005A6C09" w:rsidRDefault="00000000">
            <w:pPr>
              <w:spacing w:after="0" w:line="240" w:lineRule="auto"/>
            </w:pPr>
            <w:r>
              <w:t>OPĆINA VRATIŠINEC</w:t>
            </w:r>
          </w:p>
        </w:tc>
      </w:tr>
      <w:tr w:rsidR="005A6C09" w14:paraId="201E7F8E" w14:textId="77777777">
        <w:tblPrEx>
          <w:tblCellMar>
            <w:top w:w="0" w:type="dxa"/>
            <w:bottom w:w="0" w:type="dxa"/>
          </w:tblCellMar>
        </w:tblPrEx>
        <w:trPr>
          <w:tblCellSpacing w:w="60" w:type="dxa"/>
        </w:trPr>
        <w:tc>
          <w:tcPr>
            <w:tcW w:w="1200" w:type="pct"/>
            <w:shd w:val="clear" w:color="auto" w:fill="E7F0F9"/>
          </w:tcPr>
          <w:p w14:paraId="5E205695" w14:textId="77777777" w:rsidR="005A6C09" w:rsidRDefault="00000000">
            <w:pPr>
              <w:spacing w:after="0" w:line="240" w:lineRule="auto"/>
            </w:pPr>
            <w:r>
              <w:rPr>
                <w:b/>
              </w:rPr>
              <w:t>Razina</w:t>
            </w:r>
          </w:p>
        </w:tc>
        <w:tc>
          <w:tcPr>
            <w:tcW w:w="0" w:type="auto"/>
            <w:shd w:val="clear" w:color="auto" w:fill="E7F0F9"/>
          </w:tcPr>
          <w:p w14:paraId="19A66933" w14:textId="77777777" w:rsidR="005A6C09" w:rsidRDefault="00000000">
            <w:pPr>
              <w:spacing w:after="0" w:line="240" w:lineRule="auto"/>
            </w:pPr>
            <w:r>
              <w:t>22</w:t>
            </w:r>
          </w:p>
        </w:tc>
      </w:tr>
    </w:tbl>
    <w:p w14:paraId="4D101CA3" w14:textId="77777777" w:rsidR="005A6C09" w:rsidRDefault="00000000">
      <w:r>
        <w:br/>
      </w:r>
    </w:p>
    <w:p w14:paraId="7E277FF0" w14:textId="77777777" w:rsidR="005A6C09" w:rsidRDefault="00000000">
      <w:pPr>
        <w:spacing w:line="240" w:lineRule="auto"/>
        <w:jc w:val="center"/>
      </w:pPr>
      <w:r>
        <w:rPr>
          <w:b/>
          <w:sz w:val="28"/>
        </w:rPr>
        <w:t>BILJEŠKE UZ FINANCIJSKE IZVJEŠTAJE</w:t>
      </w:r>
    </w:p>
    <w:p w14:paraId="4C641B83" w14:textId="77777777" w:rsidR="005A6C09" w:rsidRDefault="00000000">
      <w:pPr>
        <w:spacing w:line="240" w:lineRule="auto"/>
        <w:jc w:val="center"/>
      </w:pPr>
      <w:r>
        <w:rPr>
          <w:b/>
          <w:sz w:val="28"/>
        </w:rPr>
        <w:t>ZA RAZDOBLJE</w:t>
      </w:r>
    </w:p>
    <w:p w14:paraId="37805E36" w14:textId="77777777" w:rsidR="005A6C09" w:rsidRDefault="00000000">
      <w:pPr>
        <w:spacing w:line="240" w:lineRule="auto"/>
        <w:jc w:val="center"/>
      </w:pPr>
      <w:r>
        <w:rPr>
          <w:b/>
          <w:sz w:val="28"/>
        </w:rPr>
        <w:t>I - VI 2026.</w:t>
      </w:r>
    </w:p>
    <w:p w14:paraId="52AB0D7D" w14:textId="77777777" w:rsidR="005A6C09" w:rsidRDefault="005A6C09"/>
    <w:p w14:paraId="07316661" w14:textId="77777777" w:rsidR="005A6C09" w:rsidRDefault="00000000">
      <w:pPr>
        <w:keepNext/>
        <w:spacing w:line="240" w:lineRule="auto"/>
        <w:jc w:val="center"/>
      </w:pPr>
      <w:r>
        <w:rPr>
          <w:b/>
          <w:sz w:val="28"/>
        </w:rPr>
        <w:t>Izvještaj o prihodima i rashodima, primicima i izdacima</w:t>
      </w:r>
    </w:p>
    <w:p w14:paraId="0D315548" w14:textId="77777777" w:rsidR="005A6C09"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272C05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A16DEB"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02A425"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5FD5C4"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988E21"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915E3B"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D8D9E4" w14:textId="77777777" w:rsidR="005A6C09" w:rsidRDefault="00000000">
            <w:pPr>
              <w:keepNext/>
              <w:keepLines/>
              <w:spacing w:after="0" w:line="240" w:lineRule="auto"/>
              <w:jc w:val="center"/>
            </w:pPr>
            <w:r>
              <w:rPr>
                <w:b/>
                <w:sz w:val="18"/>
              </w:rPr>
              <w:t>Indeks (%)</w:t>
            </w:r>
          </w:p>
        </w:tc>
      </w:tr>
      <w:tr w:rsidR="005A6C09" w14:paraId="1E2B799B" w14:textId="77777777">
        <w:tblPrEx>
          <w:tblCellMar>
            <w:top w:w="0" w:type="dxa"/>
            <w:bottom w:w="0" w:type="dxa"/>
          </w:tblCellMar>
        </w:tblPrEx>
        <w:trPr>
          <w:cantSplit/>
          <w:trHeight w:val="560"/>
        </w:trPr>
        <w:tc>
          <w:tcPr>
            <w:tcW w:w="700" w:type="dxa"/>
            <w:tcMar>
              <w:top w:w="0" w:type="dxa"/>
              <w:bottom w:w="0" w:type="dxa"/>
            </w:tcMar>
            <w:vAlign w:val="center"/>
          </w:tcPr>
          <w:p w14:paraId="5EDEBB15" w14:textId="77777777" w:rsidR="005A6C09" w:rsidRDefault="00000000">
            <w:pPr>
              <w:keepNext/>
              <w:keepLines/>
              <w:spacing w:after="0" w:line="240" w:lineRule="auto"/>
            </w:pPr>
            <w:r>
              <w:rPr>
                <w:sz w:val="18"/>
              </w:rPr>
              <w:t>6</w:t>
            </w:r>
          </w:p>
        </w:tc>
        <w:tc>
          <w:tcPr>
            <w:tcW w:w="3180" w:type="dxa"/>
            <w:tcMar>
              <w:top w:w="0" w:type="dxa"/>
              <w:bottom w:w="0" w:type="dxa"/>
            </w:tcMar>
            <w:vAlign w:val="center"/>
          </w:tcPr>
          <w:p w14:paraId="21BBF6F0" w14:textId="77777777" w:rsidR="005A6C0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2FD14A7" w14:textId="77777777" w:rsidR="005A6C09" w:rsidRDefault="00000000">
            <w:pPr>
              <w:keepNext/>
              <w:keepLines/>
              <w:spacing w:after="0" w:line="240" w:lineRule="auto"/>
            </w:pPr>
            <w:r>
              <w:rPr>
                <w:sz w:val="18"/>
              </w:rPr>
              <w:t>6</w:t>
            </w:r>
          </w:p>
        </w:tc>
        <w:tc>
          <w:tcPr>
            <w:tcW w:w="1860" w:type="dxa"/>
            <w:tcMar>
              <w:top w:w="0" w:type="dxa"/>
              <w:bottom w:w="0" w:type="dxa"/>
            </w:tcMar>
            <w:vAlign w:val="center"/>
          </w:tcPr>
          <w:p w14:paraId="020E1EBE" w14:textId="77777777" w:rsidR="005A6C09" w:rsidRDefault="00000000">
            <w:pPr>
              <w:keepNext/>
              <w:keepLines/>
              <w:spacing w:after="0" w:line="240" w:lineRule="auto"/>
              <w:jc w:val="right"/>
            </w:pPr>
            <w:r>
              <w:rPr>
                <w:sz w:val="18"/>
              </w:rPr>
              <w:t>624.393,33</w:t>
            </w:r>
          </w:p>
        </w:tc>
        <w:tc>
          <w:tcPr>
            <w:tcW w:w="1860" w:type="dxa"/>
            <w:tcMar>
              <w:top w:w="0" w:type="dxa"/>
              <w:bottom w:w="0" w:type="dxa"/>
            </w:tcMar>
            <w:vAlign w:val="center"/>
          </w:tcPr>
          <w:p w14:paraId="72BE0ADB" w14:textId="77777777" w:rsidR="005A6C09" w:rsidRDefault="00000000">
            <w:pPr>
              <w:keepNext/>
              <w:keepLines/>
              <w:spacing w:after="0" w:line="240" w:lineRule="auto"/>
              <w:jc w:val="right"/>
            </w:pPr>
            <w:r>
              <w:rPr>
                <w:sz w:val="18"/>
              </w:rPr>
              <w:t>686.541,37</w:t>
            </w:r>
          </w:p>
        </w:tc>
        <w:tc>
          <w:tcPr>
            <w:tcW w:w="700" w:type="dxa"/>
            <w:tcMar>
              <w:top w:w="0" w:type="dxa"/>
              <w:bottom w:w="0" w:type="dxa"/>
            </w:tcMar>
            <w:vAlign w:val="center"/>
          </w:tcPr>
          <w:p w14:paraId="7FB3575D" w14:textId="77777777" w:rsidR="005A6C09" w:rsidRDefault="00000000">
            <w:pPr>
              <w:keepNext/>
              <w:keepLines/>
              <w:spacing w:after="0" w:line="240" w:lineRule="auto"/>
              <w:jc w:val="right"/>
            </w:pPr>
            <w:r>
              <w:rPr>
                <w:sz w:val="18"/>
              </w:rPr>
              <w:t>110,0</w:t>
            </w:r>
          </w:p>
        </w:tc>
      </w:tr>
      <w:tr w:rsidR="005A6C09" w14:paraId="3BC6B128" w14:textId="77777777">
        <w:tblPrEx>
          <w:tblCellMar>
            <w:top w:w="0" w:type="dxa"/>
            <w:bottom w:w="0" w:type="dxa"/>
          </w:tblCellMar>
        </w:tblPrEx>
        <w:trPr>
          <w:cantSplit/>
          <w:trHeight w:val="560"/>
        </w:trPr>
        <w:tc>
          <w:tcPr>
            <w:tcW w:w="700" w:type="dxa"/>
            <w:tcMar>
              <w:top w:w="0" w:type="dxa"/>
              <w:bottom w:w="0" w:type="dxa"/>
            </w:tcMar>
            <w:vAlign w:val="center"/>
          </w:tcPr>
          <w:p w14:paraId="04E4FBAA" w14:textId="77777777" w:rsidR="005A6C09" w:rsidRDefault="00000000">
            <w:pPr>
              <w:keepNext/>
              <w:keepLines/>
              <w:spacing w:after="0" w:line="240" w:lineRule="auto"/>
            </w:pPr>
            <w:r>
              <w:rPr>
                <w:sz w:val="18"/>
              </w:rPr>
              <w:t>3</w:t>
            </w:r>
          </w:p>
        </w:tc>
        <w:tc>
          <w:tcPr>
            <w:tcW w:w="3180" w:type="dxa"/>
            <w:tcMar>
              <w:top w:w="0" w:type="dxa"/>
              <w:bottom w:w="0" w:type="dxa"/>
            </w:tcMar>
            <w:vAlign w:val="center"/>
          </w:tcPr>
          <w:p w14:paraId="5F975FC1" w14:textId="77777777" w:rsidR="005A6C0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D415564" w14:textId="77777777" w:rsidR="005A6C09" w:rsidRDefault="00000000">
            <w:pPr>
              <w:keepNext/>
              <w:keepLines/>
              <w:spacing w:after="0" w:line="240" w:lineRule="auto"/>
            </w:pPr>
            <w:r>
              <w:rPr>
                <w:sz w:val="18"/>
              </w:rPr>
              <w:t>3</w:t>
            </w:r>
          </w:p>
        </w:tc>
        <w:tc>
          <w:tcPr>
            <w:tcW w:w="1860" w:type="dxa"/>
            <w:tcMar>
              <w:top w:w="0" w:type="dxa"/>
              <w:bottom w:w="0" w:type="dxa"/>
            </w:tcMar>
            <w:vAlign w:val="center"/>
          </w:tcPr>
          <w:p w14:paraId="5E75B4D8" w14:textId="77777777" w:rsidR="005A6C09" w:rsidRDefault="00000000">
            <w:pPr>
              <w:keepNext/>
              <w:keepLines/>
              <w:spacing w:after="0" w:line="240" w:lineRule="auto"/>
              <w:jc w:val="right"/>
            </w:pPr>
            <w:r>
              <w:rPr>
                <w:sz w:val="18"/>
              </w:rPr>
              <w:t>370.091,88</w:t>
            </w:r>
          </w:p>
        </w:tc>
        <w:tc>
          <w:tcPr>
            <w:tcW w:w="1860" w:type="dxa"/>
            <w:tcMar>
              <w:top w:w="0" w:type="dxa"/>
              <w:bottom w:w="0" w:type="dxa"/>
            </w:tcMar>
            <w:vAlign w:val="center"/>
          </w:tcPr>
          <w:p w14:paraId="64A7A24D" w14:textId="77777777" w:rsidR="005A6C09" w:rsidRDefault="00000000">
            <w:pPr>
              <w:keepNext/>
              <w:keepLines/>
              <w:spacing w:after="0" w:line="240" w:lineRule="auto"/>
              <w:jc w:val="right"/>
            </w:pPr>
            <w:r>
              <w:rPr>
                <w:sz w:val="18"/>
              </w:rPr>
              <w:t>519.016,12</w:t>
            </w:r>
          </w:p>
        </w:tc>
        <w:tc>
          <w:tcPr>
            <w:tcW w:w="700" w:type="dxa"/>
            <w:tcMar>
              <w:top w:w="0" w:type="dxa"/>
              <w:bottom w:w="0" w:type="dxa"/>
            </w:tcMar>
            <w:vAlign w:val="center"/>
          </w:tcPr>
          <w:p w14:paraId="0E0A4A07" w14:textId="77777777" w:rsidR="005A6C09" w:rsidRDefault="00000000">
            <w:pPr>
              <w:keepNext/>
              <w:keepLines/>
              <w:spacing w:after="0" w:line="240" w:lineRule="auto"/>
              <w:jc w:val="right"/>
            </w:pPr>
            <w:r>
              <w:rPr>
                <w:sz w:val="18"/>
              </w:rPr>
              <w:t>140,2</w:t>
            </w:r>
          </w:p>
        </w:tc>
      </w:tr>
      <w:tr w:rsidR="005A6C09" w14:paraId="17197549" w14:textId="77777777">
        <w:tblPrEx>
          <w:tblCellMar>
            <w:top w:w="0" w:type="dxa"/>
            <w:bottom w:w="0" w:type="dxa"/>
          </w:tblCellMar>
        </w:tblPrEx>
        <w:trPr>
          <w:cantSplit/>
          <w:trHeight w:val="560"/>
        </w:trPr>
        <w:tc>
          <w:tcPr>
            <w:tcW w:w="700" w:type="dxa"/>
            <w:tcMar>
              <w:top w:w="0" w:type="dxa"/>
              <w:bottom w:w="0" w:type="dxa"/>
            </w:tcMar>
            <w:vAlign w:val="center"/>
          </w:tcPr>
          <w:p w14:paraId="5087115D" w14:textId="77777777" w:rsidR="005A6C09" w:rsidRDefault="005A6C09">
            <w:pPr>
              <w:keepNext/>
              <w:keepLines/>
              <w:spacing w:after="0" w:line="240" w:lineRule="auto"/>
            </w:pPr>
          </w:p>
        </w:tc>
        <w:tc>
          <w:tcPr>
            <w:tcW w:w="3180" w:type="dxa"/>
            <w:tcMar>
              <w:top w:w="0" w:type="dxa"/>
              <w:bottom w:w="0" w:type="dxa"/>
            </w:tcMar>
            <w:vAlign w:val="center"/>
          </w:tcPr>
          <w:p w14:paraId="68B201B6" w14:textId="77777777" w:rsidR="005A6C09"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FF896A9" w14:textId="77777777" w:rsidR="005A6C09" w:rsidRDefault="00000000">
            <w:pPr>
              <w:keepNext/>
              <w:keepLines/>
              <w:spacing w:after="0" w:line="240" w:lineRule="auto"/>
            </w:pPr>
            <w:r>
              <w:rPr>
                <w:b/>
                <w:sz w:val="18"/>
              </w:rPr>
              <w:t>X001</w:t>
            </w:r>
          </w:p>
        </w:tc>
        <w:tc>
          <w:tcPr>
            <w:tcW w:w="1860" w:type="dxa"/>
            <w:tcMar>
              <w:top w:w="0" w:type="dxa"/>
              <w:bottom w:w="0" w:type="dxa"/>
            </w:tcMar>
            <w:vAlign w:val="center"/>
          </w:tcPr>
          <w:p w14:paraId="4EB88851" w14:textId="77777777" w:rsidR="005A6C09" w:rsidRDefault="00000000">
            <w:pPr>
              <w:keepNext/>
              <w:keepLines/>
              <w:spacing w:after="0" w:line="240" w:lineRule="auto"/>
              <w:jc w:val="right"/>
            </w:pPr>
            <w:r>
              <w:rPr>
                <w:b/>
                <w:sz w:val="18"/>
              </w:rPr>
              <w:t>254.301,45</w:t>
            </w:r>
          </w:p>
        </w:tc>
        <w:tc>
          <w:tcPr>
            <w:tcW w:w="1860" w:type="dxa"/>
            <w:tcMar>
              <w:top w:w="0" w:type="dxa"/>
              <w:bottom w:w="0" w:type="dxa"/>
            </w:tcMar>
            <w:vAlign w:val="center"/>
          </w:tcPr>
          <w:p w14:paraId="18526ABD" w14:textId="77777777" w:rsidR="005A6C09" w:rsidRDefault="00000000">
            <w:pPr>
              <w:keepNext/>
              <w:keepLines/>
              <w:spacing w:after="0" w:line="240" w:lineRule="auto"/>
              <w:jc w:val="right"/>
            </w:pPr>
            <w:r>
              <w:rPr>
                <w:b/>
                <w:sz w:val="18"/>
              </w:rPr>
              <w:t>167.525,25</w:t>
            </w:r>
          </w:p>
        </w:tc>
        <w:tc>
          <w:tcPr>
            <w:tcW w:w="700" w:type="dxa"/>
            <w:tcMar>
              <w:top w:w="0" w:type="dxa"/>
              <w:bottom w:w="0" w:type="dxa"/>
            </w:tcMar>
            <w:vAlign w:val="center"/>
          </w:tcPr>
          <w:p w14:paraId="2CD589F0" w14:textId="77777777" w:rsidR="005A6C09" w:rsidRDefault="00000000">
            <w:pPr>
              <w:keepNext/>
              <w:keepLines/>
              <w:spacing w:after="0" w:line="240" w:lineRule="auto"/>
              <w:jc w:val="right"/>
            </w:pPr>
            <w:r>
              <w:rPr>
                <w:b/>
                <w:sz w:val="18"/>
              </w:rPr>
              <w:t>65,9</w:t>
            </w:r>
          </w:p>
        </w:tc>
      </w:tr>
      <w:tr w:rsidR="005A6C09" w14:paraId="25137596" w14:textId="77777777">
        <w:tblPrEx>
          <w:tblCellMar>
            <w:top w:w="0" w:type="dxa"/>
            <w:bottom w:w="0" w:type="dxa"/>
          </w:tblCellMar>
        </w:tblPrEx>
        <w:trPr>
          <w:cantSplit/>
          <w:trHeight w:val="560"/>
        </w:trPr>
        <w:tc>
          <w:tcPr>
            <w:tcW w:w="700" w:type="dxa"/>
            <w:tcMar>
              <w:top w:w="0" w:type="dxa"/>
              <w:bottom w:w="0" w:type="dxa"/>
            </w:tcMar>
            <w:vAlign w:val="center"/>
          </w:tcPr>
          <w:p w14:paraId="46B534BB" w14:textId="77777777" w:rsidR="005A6C09" w:rsidRDefault="00000000">
            <w:pPr>
              <w:keepNext/>
              <w:keepLines/>
              <w:spacing w:after="0" w:line="240" w:lineRule="auto"/>
            </w:pPr>
            <w:r>
              <w:rPr>
                <w:sz w:val="18"/>
              </w:rPr>
              <w:t>7</w:t>
            </w:r>
          </w:p>
        </w:tc>
        <w:tc>
          <w:tcPr>
            <w:tcW w:w="3180" w:type="dxa"/>
            <w:tcMar>
              <w:top w:w="0" w:type="dxa"/>
              <w:bottom w:w="0" w:type="dxa"/>
            </w:tcMar>
            <w:vAlign w:val="center"/>
          </w:tcPr>
          <w:p w14:paraId="30B4C127" w14:textId="77777777" w:rsidR="005A6C0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162B921" w14:textId="77777777" w:rsidR="005A6C09" w:rsidRDefault="00000000">
            <w:pPr>
              <w:keepNext/>
              <w:keepLines/>
              <w:spacing w:after="0" w:line="240" w:lineRule="auto"/>
            </w:pPr>
            <w:r>
              <w:rPr>
                <w:sz w:val="18"/>
              </w:rPr>
              <w:t>7</w:t>
            </w:r>
          </w:p>
        </w:tc>
        <w:tc>
          <w:tcPr>
            <w:tcW w:w="1860" w:type="dxa"/>
            <w:tcMar>
              <w:top w:w="0" w:type="dxa"/>
              <w:bottom w:w="0" w:type="dxa"/>
            </w:tcMar>
            <w:vAlign w:val="center"/>
          </w:tcPr>
          <w:p w14:paraId="6364F729" w14:textId="77777777" w:rsidR="005A6C09" w:rsidRDefault="00000000">
            <w:pPr>
              <w:keepNext/>
              <w:keepLines/>
              <w:spacing w:after="0" w:line="240" w:lineRule="auto"/>
              <w:jc w:val="right"/>
            </w:pPr>
            <w:r>
              <w:rPr>
                <w:sz w:val="18"/>
              </w:rPr>
              <w:t>333,06</w:t>
            </w:r>
          </w:p>
        </w:tc>
        <w:tc>
          <w:tcPr>
            <w:tcW w:w="1860" w:type="dxa"/>
            <w:tcMar>
              <w:top w:w="0" w:type="dxa"/>
              <w:bottom w:w="0" w:type="dxa"/>
            </w:tcMar>
            <w:vAlign w:val="center"/>
          </w:tcPr>
          <w:p w14:paraId="336AC75F" w14:textId="77777777" w:rsidR="005A6C09" w:rsidRDefault="00000000">
            <w:pPr>
              <w:keepNext/>
              <w:keepLines/>
              <w:spacing w:after="0" w:line="240" w:lineRule="auto"/>
              <w:jc w:val="right"/>
            </w:pPr>
            <w:r>
              <w:rPr>
                <w:sz w:val="18"/>
              </w:rPr>
              <w:t>1.192,91</w:t>
            </w:r>
          </w:p>
        </w:tc>
        <w:tc>
          <w:tcPr>
            <w:tcW w:w="700" w:type="dxa"/>
            <w:tcMar>
              <w:top w:w="0" w:type="dxa"/>
              <w:bottom w:w="0" w:type="dxa"/>
            </w:tcMar>
            <w:vAlign w:val="center"/>
          </w:tcPr>
          <w:p w14:paraId="226F5B6F" w14:textId="77777777" w:rsidR="005A6C09" w:rsidRDefault="00000000">
            <w:pPr>
              <w:keepNext/>
              <w:keepLines/>
              <w:spacing w:after="0" w:line="240" w:lineRule="auto"/>
              <w:jc w:val="right"/>
            </w:pPr>
            <w:r>
              <w:rPr>
                <w:sz w:val="18"/>
              </w:rPr>
              <w:t>358,2</w:t>
            </w:r>
          </w:p>
        </w:tc>
      </w:tr>
      <w:tr w:rsidR="005A6C09" w14:paraId="53C72B91" w14:textId="77777777">
        <w:tblPrEx>
          <w:tblCellMar>
            <w:top w:w="0" w:type="dxa"/>
            <w:bottom w:w="0" w:type="dxa"/>
          </w:tblCellMar>
        </w:tblPrEx>
        <w:trPr>
          <w:cantSplit/>
          <w:trHeight w:val="560"/>
        </w:trPr>
        <w:tc>
          <w:tcPr>
            <w:tcW w:w="700" w:type="dxa"/>
            <w:tcMar>
              <w:top w:w="0" w:type="dxa"/>
              <w:bottom w:w="0" w:type="dxa"/>
            </w:tcMar>
            <w:vAlign w:val="center"/>
          </w:tcPr>
          <w:p w14:paraId="7692C12C" w14:textId="77777777" w:rsidR="005A6C09" w:rsidRDefault="00000000">
            <w:pPr>
              <w:keepNext/>
              <w:keepLines/>
              <w:spacing w:after="0" w:line="240" w:lineRule="auto"/>
            </w:pPr>
            <w:r>
              <w:rPr>
                <w:sz w:val="18"/>
              </w:rPr>
              <w:t>4</w:t>
            </w:r>
          </w:p>
        </w:tc>
        <w:tc>
          <w:tcPr>
            <w:tcW w:w="3180" w:type="dxa"/>
            <w:tcMar>
              <w:top w:w="0" w:type="dxa"/>
              <w:bottom w:w="0" w:type="dxa"/>
            </w:tcMar>
            <w:vAlign w:val="center"/>
          </w:tcPr>
          <w:p w14:paraId="7709B256" w14:textId="77777777" w:rsidR="005A6C0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A0B8919" w14:textId="77777777" w:rsidR="005A6C09" w:rsidRDefault="00000000">
            <w:pPr>
              <w:keepNext/>
              <w:keepLines/>
              <w:spacing w:after="0" w:line="240" w:lineRule="auto"/>
            </w:pPr>
            <w:r>
              <w:rPr>
                <w:sz w:val="18"/>
              </w:rPr>
              <w:t>4</w:t>
            </w:r>
          </w:p>
        </w:tc>
        <w:tc>
          <w:tcPr>
            <w:tcW w:w="1860" w:type="dxa"/>
            <w:tcMar>
              <w:top w:w="0" w:type="dxa"/>
              <w:bottom w:w="0" w:type="dxa"/>
            </w:tcMar>
            <w:vAlign w:val="center"/>
          </w:tcPr>
          <w:p w14:paraId="379767AA" w14:textId="77777777" w:rsidR="005A6C09" w:rsidRDefault="00000000">
            <w:pPr>
              <w:keepNext/>
              <w:keepLines/>
              <w:spacing w:after="0" w:line="240" w:lineRule="auto"/>
              <w:jc w:val="right"/>
            </w:pPr>
            <w:r>
              <w:rPr>
                <w:sz w:val="18"/>
              </w:rPr>
              <w:t>352.856,54</w:t>
            </w:r>
          </w:p>
        </w:tc>
        <w:tc>
          <w:tcPr>
            <w:tcW w:w="1860" w:type="dxa"/>
            <w:tcMar>
              <w:top w:w="0" w:type="dxa"/>
              <w:bottom w:w="0" w:type="dxa"/>
            </w:tcMar>
            <w:vAlign w:val="center"/>
          </w:tcPr>
          <w:p w14:paraId="4670A798" w14:textId="77777777" w:rsidR="005A6C09" w:rsidRDefault="00000000">
            <w:pPr>
              <w:keepNext/>
              <w:keepLines/>
              <w:spacing w:after="0" w:line="240" w:lineRule="auto"/>
              <w:jc w:val="right"/>
            </w:pPr>
            <w:r>
              <w:rPr>
                <w:sz w:val="18"/>
              </w:rPr>
              <w:t>38.957,99</w:t>
            </w:r>
          </w:p>
        </w:tc>
        <w:tc>
          <w:tcPr>
            <w:tcW w:w="700" w:type="dxa"/>
            <w:tcMar>
              <w:top w:w="0" w:type="dxa"/>
              <w:bottom w:w="0" w:type="dxa"/>
            </w:tcMar>
            <w:vAlign w:val="center"/>
          </w:tcPr>
          <w:p w14:paraId="6ADA4CF4" w14:textId="77777777" w:rsidR="005A6C09" w:rsidRDefault="00000000">
            <w:pPr>
              <w:keepNext/>
              <w:keepLines/>
              <w:spacing w:after="0" w:line="240" w:lineRule="auto"/>
              <w:jc w:val="right"/>
            </w:pPr>
            <w:r>
              <w:rPr>
                <w:sz w:val="18"/>
              </w:rPr>
              <w:t>11,0</w:t>
            </w:r>
          </w:p>
        </w:tc>
      </w:tr>
      <w:tr w:rsidR="005A6C09" w14:paraId="2E3C87BE" w14:textId="77777777">
        <w:tblPrEx>
          <w:tblCellMar>
            <w:top w:w="0" w:type="dxa"/>
            <w:bottom w:w="0" w:type="dxa"/>
          </w:tblCellMar>
        </w:tblPrEx>
        <w:trPr>
          <w:cantSplit/>
          <w:trHeight w:val="560"/>
        </w:trPr>
        <w:tc>
          <w:tcPr>
            <w:tcW w:w="700" w:type="dxa"/>
            <w:tcMar>
              <w:top w:w="0" w:type="dxa"/>
              <w:bottom w:w="0" w:type="dxa"/>
            </w:tcMar>
            <w:vAlign w:val="center"/>
          </w:tcPr>
          <w:p w14:paraId="1ADF4E7E" w14:textId="77777777" w:rsidR="005A6C09" w:rsidRDefault="005A6C09">
            <w:pPr>
              <w:keepNext/>
              <w:keepLines/>
              <w:spacing w:after="0" w:line="240" w:lineRule="auto"/>
            </w:pPr>
          </w:p>
        </w:tc>
        <w:tc>
          <w:tcPr>
            <w:tcW w:w="3180" w:type="dxa"/>
            <w:tcMar>
              <w:top w:w="0" w:type="dxa"/>
              <w:bottom w:w="0" w:type="dxa"/>
            </w:tcMar>
            <w:vAlign w:val="center"/>
          </w:tcPr>
          <w:p w14:paraId="03D2F212" w14:textId="77777777" w:rsidR="005A6C09"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E9D5C27" w14:textId="77777777" w:rsidR="005A6C09" w:rsidRDefault="00000000">
            <w:pPr>
              <w:keepNext/>
              <w:keepLines/>
              <w:spacing w:after="0" w:line="240" w:lineRule="auto"/>
            </w:pPr>
            <w:r>
              <w:rPr>
                <w:b/>
                <w:sz w:val="18"/>
              </w:rPr>
              <w:t>Y002</w:t>
            </w:r>
          </w:p>
        </w:tc>
        <w:tc>
          <w:tcPr>
            <w:tcW w:w="1860" w:type="dxa"/>
            <w:tcMar>
              <w:top w:w="0" w:type="dxa"/>
              <w:bottom w:w="0" w:type="dxa"/>
            </w:tcMar>
            <w:vAlign w:val="center"/>
          </w:tcPr>
          <w:p w14:paraId="05E5262E" w14:textId="77777777" w:rsidR="005A6C09" w:rsidRDefault="00000000">
            <w:pPr>
              <w:keepNext/>
              <w:keepLines/>
              <w:spacing w:after="0" w:line="240" w:lineRule="auto"/>
              <w:jc w:val="right"/>
            </w:pPr>
            <w:r>
              <w:rPr>
                <w:b/>
                <w:sz w:val="18"/>
              </w:rPr>
              <w:t>352.523,48</w:t>
            </w:r>
          </w:p>
        </w:tc>
        <w:tc>
          <w:tcPr>
            <w:tcW w:w="1860" w:type="dxa"/>
            <w:tcMar>
              <w:top w:w="0" w:type="dxa"/>
              <w:bottom w:w="0" w:type="dxa"/>
            </w:tcMar>
            <w:vAlign w:val="center"/>
          </w:tcPr>
          <w:p w14:paraId="42F6564D" w14:textId="77777777" w:rsidR="005A6C09" w:rsidRDefault="00000000">
            <w:pPr>
              <w:keepNext/>
              <w:keepLines/>
              <w:spacing w:after="0" w:line="240" w:lineRule="auto"/>
              <w:jc w:val="right"/>
            </w:pPr>
            <w:r>
              <w:rPr>
                <w:b/>
                <w:sz w:val="18"/>
              </w:rPr>
              <w:t>37.765,08</w:t>
            </w:r>
          </w:p>
        </w:tc>
        <w:tc>
          <w:tcPr>
            <w:tcW w:w="700" w:type="dxa"/>
            <w:tcMar>
              <w:top w:w="0" w:type="dxa"/>
              <w:bottom w:w="0" w:type="dxa"/>
            </w:tcMar>
            <w:vAlign w:val="center"/>
          </w:tcPr>
          <w:p w14:paraId="7F59AC86" w14:textId="77777777" w:rsidR="005A6C09" w:rsidRDefault="00000000">
            <w:pPr>
              <w:keepNext/>
              <w:keepLines/>
              <w:spacing w:after="0" w:line="240" w:lineRule="auto"/>
              <w:jc w:val="right"/>
            </w:pPr>
            <w:r>
              <w:rPr>
                <w:b/>
                <w:sz w:val="18"/>
              </w:rPr>
              <w:t>10,7</w:t>
            </w:r>
          </w:p>
        </w:tc>
      </w:tr>
      <w:tr w:rsidR="005A6C09" w14:paraId="0AC6F944" w14:textId="77777777">
        <w:tblPrEx>
          <w:tblCellMar>
            <w:top w:w="0" w:type="dxa"/>
            <w:bottom w:w="0" w:type="dxa"/>
          </w:tblCellMar>
        </w:tblPrEx>
        <w:trPr>
          <w:cantSplit/>
          <w:trHeight w:val="560"/>
        </w:trPr>
        <w:tc>
          <w:tcPr>
            <w:tcW w:w="700" w:type="dxa"/>
            <w:tcMar>
              <w:top w:w="0" w:type="dxa"/>
              <w:bottom w:w="0" w:type="dxa"/>
            </w:tcMar>
            <w:vAlign w:val="center"/>
          </w:tcPr>
          <w:p w14:paraId="63304FA0" w14:textId="77777777" w:rsidR="005A6C09" w:rsidRDefault="00000000">
            <w:pPr>
              <w:keepNext/>
              <w:keepLines/>
              <w:spacing w:after="0" w:line="240" w:lineRule="auto"/>
            </w:pPr>
            <w:r>
              <w:rPr>
                <w:sz w:val="18"/>
              </w:rPr>
              <w:t>8</w:t>
            </w:r>
          </w:p>
        </w:tc>
        <w:tc>
          <w:tcPr>
            <w:tcW w:w="3180" w:type="dxa"/>
            <w:tcMar>
              <w:top w:w="0" w:type="dxa"/>
              <w:bottom w:w="0" w:type="dxa"/>
            </w:tcMar>
            <w:vAlign w:val="center"/>
          </w:tcPr>
          <w:p w14:paraId="4F6B9187" w14:textId="77777777" w:rsidR="005A6C0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CBAD12A" w14:textId="77777777" w:rsidR="005A6C09" w:rsidRDefault="00000000">
            <w:pPr>
              <w:keepNext/>
              <w:keepLines/>
              <w:spacing w:after="0" w:line="240" w:lineRule="auto"/>
            </w:pPr>
            <w:r>
              <w:rPr>
                <w:sz w:val="18"/>
              </w:rPr>
              <w:t>8</w:t>
            </w:r>
          </w:p>
        </w:tc>
        <w:tc>
          <w:tcPr>
            <w:tcW w:w="1860" w:type="dxa"/>
            <w:tcMar>
              <w:top w:w="0" w:type="dxa"/>
              <w:bottom w:w="0" w:type="dxa"/>
            </w:tcMar>
            <w:vAlign w:val="center"/>
          </w:tcPr>
          <w:p w14:paraId="55F73264" w14:textId="77777777" w:rsidR="005A6C09" w:rsidRDefault="00000000">
            <w:pPr>
              <w:keepNext/>
              <w:keepLines/>
              <w:spacing w:after="0" w:line="240" w:lineRule="auto"/>
              <w:jc w:val="right"/>
            </w:pPr>
            <w:r>
              <w:rPr>
                <w:sz w:val="18"/>
              </w:rPr>
              <w:t>0,00</w:t>
            </w:r>
          </w:p>
        </w:tc>
        <w:tc>
          <w:tcPr>
            <w:tcW w:w="1860" w:type="dxa"/>
            <w:tcMar>
              <w:top w:w="0" w:type="dxa"/>
              <w:bottom w:w="0" w:type="dxa"/>
            </w:tcMar>
            <w:vAlign w:val="center"/>
          </w:tcPr>
          <w:p w14:paraId="0755032B" w14:textId="77777777" w:rsidR="005A6C09" w:rsidRDefault="00000000">
            <w:pPr>
              <w:keepNext/>
              <w:keepLines/>
              <w:spacing w:after="0" w:line="240" w:lineRule="auto"/>
              <w:jc w:val="right"/>
            </w:pPr>
            <w:r>
              <w:rPr>
                <w:sz w:val="18"/>
              </w:rPr>
              <w:t>0,00</w:t>
            </w:r>
          </w:p>
        </w:tc>
        <w:tc>
          <w:tcPr>
            <w:tcW w:w="700" w:type="dxa"/>
            <w:tcMar>
              <w:top w:w="0" w:type="dxa"/>
              <w:bottom w:w="0" w:type="dxa"/>
            </w:tcMar>
            <w:vAlign w:val="center"/>
          </w:tcPr>
          <w:p w14:paraId="63673E1E" w14:textId="77777777" w:rsidR="005A6C09" w:rsidRDefault="00000000">
            <w:pPr>
              <w:keepNext/>
              <w:keepLines/>
              <w:spacing w:after="0" w:line="240" w:lineRule="auto"/>
              <w:jc w:val="right"/>
            </w:pPr>
            <w:r>
              <w:rPr>
                <w:sz w:val="18"/>
              </w:rPr>
              <w:t>-</w:t>
            </w:r>
          </w:p>
        </w:tc>
      </w:tr>
      <w:tr w:rsidR="005A6C09" w14:paraId="7F08EEFB" w14:textId="77777777">
        <w:tblPrEx>
          <w:tblCellMar>
            <w:top w:w="0" w:type="dxa"/>
            <w:bottom w:w="0" w:type="dxa"/>
          </w:tblCellMar>
        </w:tblPrEx>
        <w:trPr>
          <w:cantSplit/>
          <w:trHeight w:val="560"/>
        </w:trPr>
        <w:tc>
          <w:tcPr>
            <w:tcW w:w="700" w:type="dxa"/>
            <w:tcMar>
              <w:top w:w="0" w:type="dxa"/>
              <w:bottom w:w="0" w:type="dxa"/>
            </w:tcMar>
            <w:vAlign w:val="center"/>
          </w:tcPr>
          <w:p w14:paraId="0E555C8E" w14:textId="77777777" w:rsidR="005A6C09" w:rsidRDefault="00000000">
            <w:pPr>
              <w:keepNext/>
              <w:keepLines/>
              <w:spacing w:after="0" w:line="240" w:lineRule="auto"/>
            </w:pPr>
            <w:r>
              <w:rPr>
                <w:sz w:val="18"/>
              </w:rPr>
              <w:t>5</w:t>
            </w:r>
          </w:p>
        </w:tc>
        <w:tc>
          <w:tcPr>
            <w:tcW w:w="3180" w:type="dxa"/>
            <w:tcMar>
              <w:top w:w="0" w:type="dxa"/>
              <w:bottom w:w="0" w:type="dxa"/>
            </w:tcMar>
            <w:vAlign w:val="center"/>
          </w:tcPr>
          <w:p w14:paraId="7BCC658F" w14:textId="77777777" w:rsidR="005A6C09"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B612512" w14:textId="77777777" w:rsidR="005A6C09" w:rsidRDefault="00000000">
            <w:pPr>
              <w:keepNext/>
              <w:keepLines/>
              <w:spacing w:after="0" w:line="240" w:lineRule="auto"/>
            </w:pPr>
            <w:r>
              <w:rPr>
                <w:sz w:val="18"/>
              </w:rPr>
              <w:t>5</w:t>
            </w:r>
          </w:p>
        </w:tc>
        <w:tc>
          <w:tcPr>
            <w:tcW w:w="1860" w:type="dxa"/>
            <w:tcMar>
              <w:top w:w="0" w:type="dxa"/>
              <w:bottom w:w="0" w:type="dxa"/>
            </w:tcMar>
            <w:vAlign w:val="center"/>
          </w:tcPr>
          <w:p w14:paraId="08D802C7" w14:textId="77777777" w:rsidR="005A6C09" w:rsidRDefault="00000000">
            <w:pPr>
              <w:keepNext/>
              <w:keepLines/>
              <w:spacing w:after="0" w:line="240" w:lineRule="auto"/>
              <w:jc w:val="right"/>
            </w:pPr>
            <w:r>
              <w:rPr>
                <w:sz w:val="18"/>
              </w:rPr>
              <w:t>0,00</w:t>
            </w:r>
          </w:p>
        </w:tc>
        <w:tc>
          <w:tcPr>
            <w:tcW w:w="1860" w:type="dxa"/>
            <w:tcMar>
              <w:top w:w="0" w:type="dxa"/>
              <w:bottom w:w="0" w:type="dxa"/>
            </w:tcMar>
            <w:vAlign w:val="center"/>
          </w:tcPr>
          <w:p w14:paraId="61EF3AAC" w14:textId="77777777" w:rsidR="005A6C09" w:rsidRDefault="00000000">
            <w:pPr>
              <w:keepNext/>
              <w:keepLines/>
              <w:spacing w:after="0" w:line="240" w:lineRule="auto"/>
              <w:jc w:val="right"/>
            </w:pPr>
            <w:r>
              <w:rPr>
                <w:sz w:val="18"/>
              </w:rPr>
              <w:t>0,00</w:t>
            </w:r>
          </w:p>
        </w:tc>
        <w:tc>
          <w:tcPr>
            <w:tcW w:w="700" w:type="dxa"/>
            <w:tcMar>
              <w:top w:w="0" w:type="dxa"/>
              <w:bottom w:w="0" w:type="dxa"/>
            </w:tcMar>
            <w:vAlign w:val="center"/>
          </w:tcPr>
          <w:p w14:paraId="31AAC309" w14:textId="77777777" w:rsidR="005A6C09" w:rsidRDefault="00000000">
            <w:pPr>
              <w:keepNext/>
              <w:keepLines/>
              <w:spacing w:after="0" w:line="240" w:lineRule="auto"/>
              <w:jc w:val="right"/>
            </w:pPr>
            <w:r>
              <w:rPr>
                <w:sz w:val="18"/>
              </w:rPr>
              <w:t>-</w:t>
            </w:r>
          </w:p>
        </w:tc>
      </w:tr>
      <w:tr w:rsidR="005A6C09" w14:paraId="75A21F89" w14:textId="77777777">
        <w:tblPrEx>
          <w:tblCellMar>
            <w:top w:w="0" w:type="dxa"/>
            <w:bottom w:w="0" w:type="dxa"/>
          </w:tblCellMar>
        </w:tblPrEx>
        <w:trPr>
          <w:cantSplit/>
          <w:trHeight w:val="560"/>
        </w:trPr>
        <w:tc>
          <w:tcPr>
            <w:tcW w:w="700" w:type="dxa"/>
            <w:tcMar>
              <w:top w:w="0" w:type="dxa"/>
              <w:bottom w:w="0" w:type="dxa"/>
            </w:tcMar>
            <w:vAlign w:val="center"/>
          </w:tcPr>
          <w:p w14:paraId="14C514AA" w14:textId="77777777" w:rsidR="005A6C09" w:rsidRDefault="005A6C09">
            <w:pPr>
              <w:keepNext/>
              <w:keepLines/>
              <w:spacing w:after="0" w:line="240" w:lineRule="auto"/>
            </w:pPr>
          </w:p>
        </w:tc>
        <w:tc>
          <w:tcPr>
            <w:tcW w:w="3180" w:type="dxa"/>
            <w:tcMar>
              <w:top w:w="0" w:type="dxa"/>
              <w:bottom w:w="0" w:type="dxa"/>
            </w:tcMar>
            <w:vAlign w:val="center"/>
          </w:tcPr>
          <w:p w14:paraId="67B66C70" w14:textId="77777777" w:rsidR="005A6C09"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C6AE4BF" w14:textId="77777777" w:rsidR="005A6C09" w:rsidRDefault="00000000">
            <w:pPr>
              <w:keepNext/>
              <w:keepLines/>
              <w:spacing w:after="0" w:line="240" w:lineRule="auto"/>
            </w:pPr>
            <w:r>
              <w:rPr>
                <w:b/>
                <w:sz w:val="18"/>
              </w:rPr>
              <w:t>X003, Y003</w:t>
            </w:r>
          </w:p>
        </w:tc>
        <w:tc>
          <w:tcPr>
            <w:tcW w:w="1860" w:type="dxa"/>
            <w:tcMar>
              <w:top w:w="0" w:type="dxa"/>
              <w:bottom w:w="0" w:type="dxa"/>
            </w:tcMar>
            <w:vAlign w:val="center"/>
          </w:tcPr>
          <w:p w14:paraId="0BD647FC" w14:textId="77777777" w:rsidR="005A6C09" w:rsidRDefault="00000000">
            <w:pPr>
              <w:keepNext/>
              <w:keepLines/>
              <w:spacing w:after="0" w:line="240" w:lineRule="auto"/>
              <w:jc w:val="right"/>
            </w:pPr>
            <w:r>
              <w:rPr>
                <w:b/>
                <w:sz w:val="18"/>
              </w:rPr>
              <w:t>0,00</w:t>
            </w:r>
          </w:p>
        </w:tc>
        <w:tc>
          <w:tcPr>
            <w:tcW w:w="1860" w:type="dxa"/>
            <w:tcMar>
              <w:top w:w="0" w:type="dxa"/>
              <w:bottom w:w="0" w:type="dxa"/>
            </w:tcMar>
            <w:vAlign w:val="center"/>
          </w:tcPr>
          <w:p w14:paraId="369444CC" w14:textId="77777777" w:rsidR="005A6C09" w:rsidRDefault="00000000">
            <w:pPr>
              <w:keepNext/>
              <w:keepLines/>
              <w:spacing w:after="0" w:line="240" w:lineRule="auto"/>
              <w:jc w:val="right"/>
            </w:pPr>
            <w:r>
              <w:rPr>
                <w:b/>
                <w:sz w:val="18"/>
              </w:rPr>
              <w:t>0,00</w:t>
            </w:r>
          </w:p>
        </w:tc>
        <w:tc>
          <w:tcPr>
            <w:tcW w:w="700" w:type="dxa"/>
            <w:tcMar>
              <w:top w:w="0" w:type="dxa"/>
              <w:bottom w:w="0" w:type="dxa"/>
            </w:tcMar>
            <w:vAlign w:val="center"/>
          </w:tcPr>
          <w:p w14:paraId="71200D10" w14:textId="77777777" w:rsidR="005A6C09" w:rsidRDefault="00000000">
            <w:pPr>
              <w:keepNext/>
              <w:keepLines/>
              <w:spacing w:after="0" w:line="240" w:lineRule="auto"/>
              <w:jc w:val="right"/>
            </w:pPr>
            <w:r>
              <w:rPr>
                <w:b/>
                <w:sz w:val="18"/>
              </w:rPr>
              <w:t>-</w:t>
            </w:r>
          </w:p>
        </w:tc>
      </w:tr>
      <w:tr w:rsidR="005A6C09" w14:paraId="6812DC4D" w14:textId="77777777">
        <w:tblPrEx>
          <w:tblCellMar>
            <w:top w:w="0" w:type="dxa"/>
            <w:bottom w:w="0" w:type="dxa"/>
          </w:tblCellMar>
        </w:tblPrEx>
        <w:trPr>
          <w:cantSplit/>
          <w:trHeight w:val="560"/>
        </w:trPr>
        <w:tc>
          <w:tcPr>
            <w:tcW w:w="700" w:type="dxa"/>
            <w:tcMar>
              <w:top w:w="0" w:type="dxa"/>
              <w:bottom w:w="0" w:type="dxa"/>
            </w:tcMar>
            <w:vAlign w:val="center"/>
          </w:tcPr>
          <w:p w14:paraId="67A0CD5E" w14:textId="77777777" w:rsidR="005A6C09" w:rsidRDefault="005A6C09">
            <w:pPr>
              <w:keepNext/>
              <w:keepLines/>
              <w:spacing w:after="0" w:line="240" w:lineRule="auto"/>
            </w:pPr>
          </w:p>
        </w:tc>
        <w:tc>
          <w:tcPr>
            <w:tcW w:w="3180" w:type="dxa"/>
            <w:tcMar>
              <w:top w:w="0" w:type="dxa"/>
              <w:bottom w:w="0" w:type="dxa"/>
            </w:tcMar>
            <w:vAlign w:val="center"/>
          </w:tcPr>
          <w:p w14:paraId="1EF38011" w14:textId="77777777" w:rsidR="005A6C09"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7E84DBBF" w14:textId="77777777" w:rsidR="005A6C09" w:rsidRDefault="00000000">
            <w:pPr>
              <w:keepNext/>
              <w:keepLines/>
              <w:spacing w:after="0" w:line="240" w:lineRule="auto"/>
            </w:pPr>
            <w:r>
              <w:rPr>
                <w:b/>
                <w:sz w:val="18"/>
              </w:rPr>
              <w:t>X005</w:t>
            </w:r>
          </w:p>
        </w:tc>
        <w:tc>
          <w:tcPr>
            <w:tcW w:w="1860" w:type="dxa"/>
            <w:tcMar>
              <w:top w:w="0" w:type="dxa"/>
              <w:bottom w:w="0" w:type="dxa"/>
            </w:tcMar>
            <w:vAlign w:val="center"/>
          </w:tcPr>
          <w:p w14:paraId="49EF2AD8" w14:textId="77777777" w:rsidR="005A6C09" w:rsidRDefault="00000000">
            <w:pPr>
              <w:keepNext/>
              <w:keepLines/>
              <w:spacing w:after="0" w:line="240" w:lineRule="auto"/>
              <w:jc w:val="right"/>
            </w:pPr>
            <w:r>
              <w:rPr>
                <w:b/>
                <w:sz w:val="18"/>
              </w:rPr>
              <w:t>0,00</w:t>
            </w:r>
          </w:p>
        </w:tc>
        <w:tc>
          <w:tcPr>
            <w:tcW w:w="1860" w:type="dxa"/>
            <w:tcMar>
              <w:top w:w="0" w:type="dxa"/>
              <w:bottom w:w="0" w:type="dxa"/>
            </w:tcMar>
            <w:vAlign w:val="center"/>
          </w:tcPr>
          <w:p w14:paraId="774B6F11" w14:textId="77777777" w:rsidR="005A6C09" w:rsidRDefault="00000000">
            <w:pPr>
              <w:keepNext/>
              <w:keepLines/>
              <w:spacing w:after="0" w:line="240" w:lineRule="auto"/>
              <w:jc w:val="right"/>
            </w:pPr>
            <w:r>
              <w:rPr>
                <w:b/>
                <w:sz w:val="18"/>
              </w:rPr>
              <w:t>129.760,17</w:t>
            </w:r>
          </w:p>
        </w:tc>
        <w:tc>
          <w:tcPr>
            <w:tcW w:w="700" w:type="dxa"/>
            <w:tcMar>
              <w:top w:w="0" w:type="dxa"/>
              <w:bottom w:w="0" w:type="dxa"/>
            </w:tcMar>
            <w:vAlign w:val="center"/>
          </w:tcPr>
          <w:p w14:paraId="23F0CDC6" w14:textId="77777777" w:rsidR="005A6C09" w:rsidRDefault="00000000">
            <w:pPr>
              <w:keepNext/>
              <w:keepLines/>
              <w:spacing w:after="0" w:line="240" w:lineRule="auto"/>
              <w:jc w:val="right"/>
            </w:pPr>
            <w:r>
              <w:rPr>
                <w:b/>
                <w:sz w:val="18"/>
              </w:rPr>
              <w:t>-</w:t>
            </w:r>
          </w:p>
        </w:tc>
      </w:tr>
    </w:tbl>
    <w:p w14:paraId="369A58BB" w14:textId="77777777" w:rsidR="005A6C09" w:rsidRDefault="005A6C09">
      <w:pPr>
        <w:spacing w:after="0"/>
      </w:pPr>
    </w:p>
    <w:p w14:paraId="5A4AC0D8" w14:textId="77777777" w:rsidR="005A6C09" w:rsidRDefault="00000000">
      <w:r>
        <w:t>U obrascu PR-RAS za izvještajno razdoblje iskazani su ukupni prihodi poslovanja u iznosu od 686.541,37 EUR, dok ukupni rashodi poslovanja iznose 519.016,12 EUR, čime je ostvaren višak prihoda poslovanja u iznosu od 167.525,25 EUR.</w:t>
      </w:r>
    </w:p>
    <w:p w14:paraId="00D5002E" w14:textId="77777777" w:rsidR="005A6C09" w:rsidRDefault="00000000">
      <w:r>
        <w:t xml:space="preserve">Ostvareni višak prihoda poslovanja rezultat je urednog izvršavanja planiranih aktivnosti te ostvarenih prihoda koji su bili veći od rashoda nastalih tijekom izvještajnog razdoblja. </w:t>
      </w:r>
      <w:r>
        <w:lastRenderedPageBreak/>
        <w:t>Rashodi su izvršavani sukladno stvarnim potrebama i dinamici provedbe programa i aktivnosti, uz racionalno i namjensko korištenje raspoloživih financijskih sredstava.</w:t>
      </w:r>
    </w:p>
    <w:p w14:paraId="067492CC" w14:textId="77777777" w:rsidR="005A6C09" w:rsidRDefault="00000000">
      <w:r>
        <w:t>Prihodi od prodaje nefinancijske imovine ostvareni su u iznosu od 1.192,91 EUR, dok rashodi za nabavu nefinancijske imovine iznose 38.957,99 EUR, zbog čega je ostvaren manjak prihoda od nefinancijske imovine u iznosu od 37.765,08 EUR. Navedeni manjak rezultat je ulaganja u nabavu dugotrajne nefinancijske imovine, pri čemu rashodi za investicije i nabavu opreme znatno premašuju prihode ostvarene prodajom nefinancijske imovine.</w:t>
      </w:r>
    </w:p>
    <w:p w14:paraId="4130446C" w14:textId="77777777" w:rsidR="005A6C09" w:rsidRDefault="00000000">
      <w:r>
        <w:t>U izvještajnom razdoblju nisu ostvareni primici od financijske imovine i zaduživanja niti su evidentirani izdaci za financijsku imovinu i otplate zajmova.</w:t>
      </w:r>
    </w:p>
    <w:p w14:paraId="73BDBDED" w14:textId="77777777" w:rsidR="005A6C09" w:rsidRDefault="00000000">
      <w:r>
        <w:t>Nakon uključivanja svih prihoda, rashoda, primitaka i izdataka, ostvaren je ukupni višak prihoda i primitaka u iznosu od 129.760,17 EUR. Ostvareni višak predstavlja rezultat pozitivnog poslovanja tijekom izvještajnog razdoblja te će se koristiti u skladu s propisima koji uređuju proračunsko računovodstvo i financijsko poslovanje, odnosno za financiranje budućih aktivnosti i podmirenje obveza, sukladno odlukama nadležnih tijela.</w:t>
      </w:r>
    </w:p>
    <w:p w14:paraId="512C341E" w14:textId="77777777" w:rsidR="005A6C09" w:rsidRDefault="00000000">
      <w:r>
        <w:br/>
      </w:r>
    </w:p>
    <w:p w14:paraId="27D84907" w14:textId="77777777" w:rsidR="005A6C09"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12F643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765B20"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929C56"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84748C"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7E884"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1FD8A2"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C6A009" w14:textId="77777777" w:rsidR="005A6C09" w:rsidRDefault="00000000">
            <w:pPr>
              <w:keepNext/>
              <w:keepLines/>
              <w:spacing w:after="0" w:line="240" w:lineRule="auto"/>
              <w:jc w:val="center"/>
            </w:pPr>
            <w:r>
              <w:rPr>
                <w:b/>
                <w:sz w:val="18"/>
              </w:rPr>
              <w:t>Indeks (%)</w:t>
            </w:r>
          </w:p>
        </w:tc>
      </w:tr>
      <w:tr w:rsidR="005A6C09" w14:paraId="17DF1BEE" w14:textId="77777777">
        <w:tblPrEx>
          <w:tblCellMar>
            <w:top w:w="0" w:type="dxa"/>
            <w:bottom w:w="0" w:type="dxa"/>
          </w:tblCellMar>
        </w:tblPrEx>
        <w:trPr>
          <w:cantSplit/>
          <w:trHeight w:val="560"/>
        </w:trPr>
        <w:tc>
          <w:tcPr>
            <w:tcW w:w="700" w:type="dxa"/>
            <w:tcMar>
              <w:top w:w="0" w:type="dxa"/>
              <w:bottom w:w="0" w:type="dxa"/>
            </w:tcMar>
            <w:vAlign w:val="center"/>
          </w:tcPr>
          <w:p w14:paraId="0C80A623" w14:textId="77777777" w:rsidR="005A6C09" w:rsidRDefault="00000000">
            <w:pPr>
              <w:keepNext/>
              <w:keepLines/>
              <w:spacing w:after="0" w:line="240" w:lineRule="auto"/>
            </w:pPr>
            <w:r>
              <w:rPr>
                <w:sz w:val="18"/>
              </w:rPr>
              <w:t>6111</w:t>
            </w:r>
          </w:p>
        </w:tc>
        <w:tc>
          <w:tcPr>
            <w:tcW w:w="3180" w:type="dxa"/>
            <w:tcMar>
              <w:top w:w="0" w:type="dxa"/>
              <w:bottom w:w="0" w:type="dxa"/>
            </w:tcMar>
            <w:vAlign w:val="center"/>
          </w:tcPr>
          <w:p w14:paraId="3E7232EE" w14:textId="77777777" w:rsidR="005A6C09" w:rsidRDefault="00000000">
            <w:pPr>
              <w:keepNext/>
              <w:keepLines/>
              <w:spacing w:after="0" w:line="240" w:lineRule="auto"/>
            </w:pPr>
            <w:r>
              <w:rPr>
                <w:sz w:val="18"/>
              </w:rPr>
              <w:t>Porez na dohodak od nesamostalnog rada</w:t>
            </w:r>
          </w:p>
        </w:tc>
        <w:tc>
          <w:tcPr>
            <w:tcW w:w="700" w:type="dxa"/>
            <w:tcMar>
              <w:top w:w="0" w:type="dxa"/>
              <w:bottom w:w="0" w:type="dxa"/>
            </w:tcMar>
            <w:vAlign w:val="center"/>
          </w:tcPr>
          <w:p w14:paraId="3E18A05D" w14:textId="77777777" w:rsidR="005A6C09" w:rsidRDefault="00000000">
            <w:pPr>
              <w:keepNext/>
              <w:keepLines/>
              <w:spacing w:after="0" w:line="240" w:lineRule="auto"/>
            </w:pPr>
            <w:r>
              <w:rPr>
                <w:sz w:val="18"/>
              </w:rPr>
              <w:t>6111</w:t>
            </w:r>
          </w:p>
        </w:tc>
        <w:tc>
          <w:tcPr>
            <w:tcW w:w="1860" w:type="dxa"/>
            <w:tcMar>
              <w:top w:w="0" w:type="dxa"/>
              <w:bottom w:w="0" w:type="dxa"/>
            </w:tcMar>
            <w:vAlign w:val="center"/>
          </w:tcPr>
          <w:p w14:paraId="51CCE9B3" w14:textId="77777777" w:rsidR="005A6C09" w:rsidRDefault="00000000">
            <w:pPr>
              <w:keepNext/>
              <w:keepLines/>
              <w:spacing w:after="0" w:line="240" w:lineRule="auto"/>
              <w:jc w:val="right"/>
            </w:pPr>
            <w:r>
              <w:rPr>
                <w:sz w:val="18"/>
              </w:rPr>
              <w:t>243.709,42</w:t>
            </w:r>
          </w:p>
        </w:tc>
        <w:tc>
          <w:tcPr>
            <w:tcW w:w="1860" w:type="dxa"/>
            <w:tcMar>
              <w:top w:w="0" w:type="dxa"/>
              <w:bottom w:w="0" w:type="dxa"/>
            </w:tcMar>
            <w:vAlign w:val="center"/>
          </w:tcPr>
          <w:p w14:paraId="3D2E50AB" w14:textId="77777777" w:rsidR="005A6C09" w:rsidRDefault="00000000">
            <w:pPr>
              <w:keepNext/>
              <w:keepLines/>
              <w:spacing w:after="0" w:line="240" w:lineRule="auto"/>
              <w:jc w:val="right"/>
            </w:pPr>
            <w:r>
              <w:rPr>
                <w:sz w:val="18"/>
              </w:rPr>
              <w:t>297.439,12</w:t>
            </w:r>
          </w:p>
        </w:tc>
        <w:tc>
          <w:tcPr>
            <w:tcW w:w="700" w:type="dxa"/>
            <w:tcMar>
              <w:top w:w="0" w:type="dxa"/>
              <w:bottom w:w="0" w:type="dxa"/>
            </w:tcMar>
            <w:vAlign w:val="center"/>
          </w:tcPr>
          <w:p w14:paraId="34D98564" w14:textId="77777777" w:rsidR="005A6C09" w:rsidRDefault="00000000">
            <w:pPr>
              <w:keepNext/>
              <w:keepLines/>
              <w:spacing w:after="0" w:line="240" w:lineRule="auto"/>
              <w:jc w:val="right"/>
            </w:pPr>
            <w:r>
              <w:rPr>
                <w:sz w:val="18"/>
              </w:rPr>
              <w:t>122,0</w:t>
            </w:r>
          </w:p>
        </w:tc>
      </w:tr>
    </w:tbl>
    <w:p w14:paraId="653F41B1" w14:textId="77777777" w:rsidR="005A6C09" w:rsidRDefault="005A6C09">
      <w:pPr>
        <w:spacing w:after="0"/>
      </w:pPr>
    </w:p>
    <w:p w14:paraId="46C80109" w14:textId="77777777" w:rsidR="005A6C09" w:rsidRDefault="00000000">
      <w:r>
        <w:t>U izvještajnom razdoblju ostvareni su prihodi od poreza na dohodak u iznosu od 297.439,12 EUR, što predstavlja povećanje od 22,0 % u odnosu na prethodno izvještajno razdoblje, kada su isti iznosili 243.709,42 EUR.</w:t>
      </w:r>
    </w:p>
    <w:p w14:paraId="01DC9907" w14:textId="77777777" w:rsidR="005A6C09" w:rsidRDefault="00000000">
      <w:r>
        <w:t>Povećanje prihoda od poreza na dohodak rezultat je povoljnijih kretanja u prihodima od nesamostalnog rada, odnosno povećanja osnovice za obračun poreza na dohodak uslijed većeg broja zaposlenih, rasta plaća i/ili povećanja oporezivih primitaka na području obveznika. Ostvareni prihodi u skladu su s kretanjem gospodarskih aktivnosti i realizacijom prihoda od nesamostalnog rada tijekom izvještajnog razdoblja.</w:t>
      </w:r>
    </w:p>
    <w:p w14:paraId="06E76475" w14:textId="77777777" w:rsidR="005A6C09" w:rsidRDefault="005A6C09"/>
    <w:p w14:paraId="760597D9" w14:textId="77777777" w:rsidR="005A6C09"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082DCC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F4B45"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772E7"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9FE3C7"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F23DA8"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343352"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A189BD" w14:textId="77777777" w:rsidR="005A6C09" w:rsidRDefault="00000000">
            <w:pPr>
              <w:keepNext/>
              <w:keepLines/>
              <w:spacing w:after="0" w:line="240" w:lineRule="auto"/>
              <w:jc w:val="center"/>
            </w:pPr>
            <w:r>
              <w:rPr>
                <w:b/>
                <w:sz w:val="18"/>
              </w:rPr>
              <w:t>Indeks (%)</w:t>
            </w:r>
          </w:p>
        </w:tc>
      </w:tr>
      <w:tr w:rsidR="005A6C09" w14:paraId="5D59DA6E" w14:textId="77777777">
        <w:tblPrEx>
          <w:tblCellMar>
            <w:top w:w="0" w:type="dxa"/>
            <w:bottom w:w="0" w:type="dxa"/>
          </w:tblCellMar>
        </w:tblPrEx>
        <w:trPr>
          <w:cantSplit/>
          <w:trHeight w:val="560"/>
        </w:trPr>
        <w:tc>
          <w:tcPr>
            <w:tcW w:w="700" w:type="dxa"/>
            <w:tcMar>
              <w:top w:w="0" w:type="dxa"/>
              <w:bottom w:w="0" w:type="dxa"/>
            </w:tcMar>
            <w:vAlign w:val="center"/>
          </w:tcPr>
          <w:p w14:paraId="601BCC48" w14:textId="77777777" w:rsidR="005A6C09" w:rsidRDefault="00000000">
            <w:pPr>
              <w:keepNext/>
              <w:keepLines/>
              <w:spacing w:after="0" w:line="240" w:lineRule="auto"/>
            </w:pPr>
            <w:r>
              <w:rPr>
                <w:sz w:val="18"/>
              </w:rPr>
              <w:t>6134</w:t>
            </w:r>
          </w:p>
        </w:tc>
        <w:tc>
          <w:tcPr>
            <w:tcW w:w="3180" w:type="dxa"/>
            <w:tcMar>
              <w:top w:w="0" w:type="dxa"/>
              <w:bottom w:w="0" w:type="dxa"/>
            </w:tcMar>
            <w:vAlign w:val="center"/>
          </w:tcPr>
          <w:p w14:paraId="2578CFBB" w14:textId="77777777" w:rsidR="005A6C09"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26C61027" w14:textId="77777777" w:rsidR="005A6C09" w:rsidRDefault="00000000">
            <w:pPr>
              <w:keepNext/>
              <w:keepLines/>
              <w:spacing w:after="0" w:line="240" w:lineRule="auto"/>
            </w:pPr>
            <w:r>
              <w:rPr>
                <w:sz w:val="18"/>
              </w:rPr>
              <w:t>6134</w:t>
            </w:r>
          </w:p>
        </w:tc>
        <w:tc>
          <w:tcPr>
            <w:tcW w:w="1860" w:type="dxa"/>
            <w:tcMar>
              <w:top w:w="0" w:type="dxa"/>
              <w:bottom w:w="0" w:type="dxa"/>
            </w:tcMar>
            <w:vAlign w:val="center"/>
          </w:tcPr>
          <w:p w14:paraId="17666C21" w14:textId="77777777" w:rsidR="005A6C09" w:rsidRDefault="00000000">
            <w:pPr>
              <w:keepNext/>
              <w:keepLines/>
              <w:spacing w:after="0" w:line="240" w:lineRule="auto"/>
              <w:jc w:val="right"/>
            </w:pPr>
            <w:r>
              <w:rPr>
                <w:sz w:val="18"/>
              </w:rPr>
              <w:t>12.223,31</w:t>
            </w:r>
          </w:p>
        </w:tc>
        <w:tc>
          <w:tcPr>
            <w:tcW w:w="1860" w:type="dxa"/>
            <w:tcMar>
              <w:top w:w="0" w:type="dxa"/>
              <w:bottom w:w="0" w:type="dxa"/>
            </w:tcMar>
            <w:vAlign w:val="center"/>
          </w:tcPr>
          <w:p w14:paraId="4F4EFE29" w14:textId="77777777" w:rsidR="005A6C09" w:rsidRDefault="00000000">
            <w:pPr>
              <w:keepNext/>
              <w:keepLines/>
              <w:spacing w:after="0" w:line="240" w:lineRule="auto"/>
              <w:jc w:val="right"/>
            </w:pPr>
            <w:r>
              <w:rPr>
                <w:sz w:val="18"/>
              </w:rPr>
              <w:t>16.351,94</w:t>
            </w:r>
          </w:p>
        </w:tc>
        <w:tc>
          <w:tcPr>
            <w:tcW w:w="700" w:type="dxa"/>
            <w:tcMar>
              <w:top w:w="0" w:type="dxa"/>
              <w:bottom w:w="0" w:type="dxa"/>
            </w:tcMar>
            <w:vAlign w:val="center"/>
          </w:tcPr>
          <w:p w14:paraId="2479525F" w14:textId="77777777" w:rsidR="005A6C09" w:rsidRDefault="00000000">
            <w:pPr>
              <w:keepNext/>
              <w:keepLines/>
              <w:spacing w:after="0" w:line="240" w:lineRule="auto"/>
              <w:jc w:val="right"/>
            </w:pPr>
            <w:r>
              <w:rPr>
                <w:sz w:val="18"/>
              </w:rPr>
              <w:t>133,8</w:t>
            </w:r>
          </w:p>
        </w:tc>
      </w:tr>
    </w:tbl>
    <w:p w14:paraId="5B1D9895" w14:textId="77777777" w:rsidR="005A6C09" w:rsidRDefault="005A6C09">
      <w:pPr>
        <w:spacing w:after="0"/>
      </w:pPr>
    </w:p>
    <w:p w14:paraId="1973782E" w14:textId="77777777" w:rsidR="005A6C09" w:rsidRDefault="00000000">
      <w:r>
        <w:lastRenderedPageBreak/>
        <w:t>Prihodi od povremenih poreza na imovinu u izvještajnom razdoblju ostvareni su u iznosu od 16.351,94 EUR, što predstavlja povećanje od 33,8 % u odnosu na prethodno izvještajno razdoblje, kada su iznosili 12.223,31 EUR.</w:t>
      </w:r>
    </w:p>
    <w:p w14:paraId="7DD62D56" w14:textId="77777777" w:rsidR="005A6C09" w:rsidRDefault="00000000">
      <w:r>
        <w:t>Povećanje prihoda rezultat je većeg ostvarenja prihoda od poreza na promet nekretnina, odnosno povećanog broja transakcija kupoprodaje nekretnina tijekom izvještajnog razdoblja. Navedeni trend povezuje se s pozitivnim kretanjima na području Općine, provedbom poticajnih mjera za razvoj i stanovanje te povećanim interesom za doseljavanje, što je utjecalo na veći broj realiziranih kupoprodaja nekretnina i posljedično veće prihode od ovog poreznog oblika.</w:t>
      </w:r>
    </w:p>
    <w:p w14:paraId="1C963807" w14:textId="77777777" w:rsidR="005A6C09" w:rsidRDefault="005A6C09"/>
    <w:p w14:paraId="49F01AB7" w14:textId="77777777" w:rsidR="005A6C09"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5FC00D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3DC4D6"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B4FDDD"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7BE2FF"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03711"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0D4643"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4D764C" w14:textId="77777777" w:rsidR="005A6C09" w:rsidRDefault="00000000">
            <w:pPr>
              <w:keepNext/>
              <w:keepLines/>
              <w:spacing w:after="0" w:line="240" w:lineRule="auto"/>
              <w:jc w:val="center"/>
            </w:pPr>
            <w:r>
              <w:rPr>
                <w:b/>
                <w:sz w:val="18"/>
              </w:rPr>
              <w:t>Indeks (%)</w:t>
            </w:r>
          </w:p>
        </w:tc>
      </w:tr>
      <w:tr w:rsidR="005A6C09" w14:paraId="1EDFE78D" w14:textId="77777777">
        <w:tblPrEx>
          <w:tblCellMar>
            <w:top w:w="0" w:type="dxa"/>
            <w:bottom w:w="0" w:type="dxa"/>
          </w:tblCellMar>
        </w:tblPrEx>
        <w:trPr>
          <w:cantSplit/>
          <w:trHeight w:val="560"/>
        </w:trPr>
        <w:tc>
          <w:tcPr>
            <w:tcW w:w="700" w:type="dxa"/>
            <w:tcMar>
              <w:top w:w="0" w:type="dxa"/>
              <w:bottom w:w="0" w:type="dxa"/>
            </w:tcMar>
            <w:vAlign w:val="center"/>
          </w:tcPr>
          <w:p w14:paraId="65D33480" w14:textId="77777777" w:rsidR="005A6C09" w:rsidRDefault="00000000">
            <w:pPr>
              <w:keepNext/>
              <w:keepLines/>
              <w:spacing w:after="0" w:line="240" w:lineRule="auto"/>
            </w:pPr>
            <w:r>
              <w:rPr>
                <w:sz w:val="18"/>
              </w:rPr>
              <w:t>6331</w:t>
            </w:r>
          </w:p>
        </w:tc>
        <w:tc>
          <w:tcPr>
            <w:tcW w:w="3180" w:type="dxa"/>
            <w:tcMar>
              <w:top w:w="0" w:type="dxa"/>
              <w:bottom w:w="0" w:type="dxa"/>
            </w:tcMar>
            <w:vAlign w:val="center"/>
          </w:tcPr>
          <w:p w14:paraId="72921180" w14:textId="77777777" w:rsidR="005A6C09"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68B65721" w14:textId="77777777" w:rsidR="005A6C09" w:rsidRDefault="00000000">
            <w:pPr>
              <w:keepNext/>
              <w:keepLines/>
              <w:spacing w:after="0" w:line="240" w:lineRule="auto"/>
            </w:pPr>
            <w:r>
              <w:rPr>
                <w:sz w:val="18"/>
              </w:rPr>
              <w:t>6331</w:t>
            </w:r>
          </w:p>
        </w:tc>
        <w:tc>
          <w:tcPr>
            <w:tcW w:w="1860" w:type="dxa"/>
            <w:tcMar>
              <w:top w:w="0" w:type="dxa"/>
              <w:bottom w:w="0" w:type="dxa"/>
            </w:tcMar>
            <w:vAlign w:val="center"/>
          </w:tcPr>
          <w:p w14:paraId="3639821A" w14:textId="77777777" w:rsidR="005A6C09" w:rsidRDefault="00000000">
            <w:pPr>
              <w:keepNext/>
              <w:keepLines/>
              <w:spacing w:after="0" w:line="240" w:lineRule="auto"/>
              <w:jc w:val="right"/>
            </w:pPr>
            <w:r>
              <w:rPr>
                <w:sz w:val="18"/>
              </w:rPr>
              <w:t>191.105,92</w:t>
            </w:r>
          </w:p>
        </w:tc>
        <w:tc>
          <w:tcPr>
            <w:tcW w:w="1860" w:type="dxa"/>
            <w:tcMar>
              <w:top w:w="0" w:type="dxa"/>
              <w:bottom w:w="0" w:type="dxa"/>
            </w:tcMar>
            <w:vAlign w:val="center"/>
          </w:tcPr>
          <w:p w14:paraId="5740F59D" w14:textId="77777777" w:rsidR="005A6C09" w:rsidRDefault="00000000">
            <w:pPr>
              <w:keepNext/>
              <w:keepLines/>
              <w:spacing w:after="0" w:line="240" w:lineRule="auto"/>
              <w:jc w:val="right"/>
            </w:pPr>
            <w:r>
              <w:rPr>
                <w:sz w:val="18"/>
              </w:rPr>
              <w:t>28.896,00</w:t>
            </w:r>
          </w:p>
        </w:tc>
        <w:tc>
          <w:tcPr>
            <w:tcW w:w="700" w:type="dxa"/>
            <w:tcMar>
              <w:top w:w="0" w:type="dxa"/>
              <w:bottom w:w="0" w:type="dxa"/>
            </w:tcMar>
            <w:vAlign w:val="center"/>
          </w:tcPr>
          <w:p w14:paraId="721B5D87" w14:textId="77777777" w:rsidR="005A6C09" w:rsidRDefault="00000000">
            <w:pPr>
              <w:keepNext/>
              <w:keepLines/>
              <w:spacing w:after="0" w:line="240" w:lineRule="auto"/>
              <w:jc w:val="right"/>
            </w:pPr>
            <w:r>
              <w:rPr>
                <w:sz w:val="18"/>
              </w:rPr>
              <w:t>15,1</w:t>
            </w:r>
          </w:p>
        </w:tc>
      </w:tr>
    </w:tbl>
    <w:p w14:paraId="0EC2C818" w14:textId="77777777" w:rsidR="005A6C09" w:rsidRDefault="005A6C09">
      <w:pPr>
        <w:spacing w:after="0"/>
      </w:pPr>
    </w:p>
    <w:p w14:paraId="6182F937" w14:textId="77777777" w:rsidR="005A6C09" w:rsidRDefault="00000000">
      <w:r>
        <w:t>Prihodi od tekućih pomoći proračunu i izvanproračunskim korisnicima iz drugih proračuna u izvještajnom razdoblju ostvareni su u iznosu od 28.896,00 EUR, što predstavlja smanjenje u odnosu na prethodno izvještajno razdoblje kada su iznosili 191.105,92 EUR.</w:t>
      </w:r>
    </w:p>
    <w:p w14:paraId="789F8B2B" w14:textId="77777777" w:rsidR="005A6C09" w:rsidRDefault="00000000">
      <w:r>
        <w:t>Razlog značajnog smanjenja je ispravnije evidentiranje prihoda sukladno propisanom računskom planu. U prethodnom izvještajnom razdoblju na ovom kontu evidentirana su sredstva fiskalnog izravnanja, dok su u tekućem razdoblju ista sredstva evidentirana na odgovarajućim računima računskog plana. Stoga iskazano smanjenje ne predstavlja stvarno smanjenje ostvarenih prihoda od pomoći, već rezultat pravilnije klasifikacije i evidentiranja prihoda.</w:t>
      </w:r>
    </w:p>
    <w:p w14:paraId="1BAAE8CF" w14:textId="77777777" w:rsidR="005A6C09" w:rsidRDefault="005A6C09"/>
    <w:p w14:paraId="06B20E2A" w14:textId="77777777" w:rsidR="005A6C09"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313273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D6273D"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AC4206"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6DCB8E"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26C54E"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6BF617"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CC7F0A" w14:textId="77777777" w:rsidR="005A6C09" w:rsidRDefault="00000000">
            <w:pPr>
              <w:keepNext/>
              <w:keepLines/>
              <w:spacing w:after="0" w:line="240" w:lineRule="auto"/>
              <w:jc w:val="center"/>
            </w:pPr>
            <w:r>
              <w:rPr>
                <w:b/>
                <w:sz w:val="18"/>
              </w:rPr>
              <w:t>Indeks (%)</w:t>
            </w:r>
          </w:p>
        </w:tc>
      </w:tr>
      <w:tr w:rsidR="005A6C09" w14:paraId="522286B9" w14:textId="77777777">
        <w:tblPrEx>
          <w:tblCellMar>
            <w:top w:w="0" w:type="dxa"/>
            <w:bottom w:w="0" w:type="dxa"/>
          </w:tblCellMar>
        </w:tblPrEx>
        <w:trPr>
          <w:cantSplit/>
          <w:trHeight w:val="560"/>
        </w:trPr>
        <w:tc>
          <w:tcPr>
            <w:tcW w:w="700" w:type="dxa"/>
            <w:tcMar>
              <w:top w:w="0" w:type="dxa"/>
              <w:bottom w:w="0" w:type="dxa"/>
            </w:tcMar>
            <w:vAlign w:val="center"/>
          </w:tcPr>
          <w:p w14:paraId="777F15E5" w14:textId="77777777" w:rsidR="005A6C09" w:rsidRDefault="00000000">
            <w:pPr>
              <w:keepNext/>
              <w:keepLines/>
              <w:spacing w:after="0" w:line="240" w:lineRule="auto"/>
            </w:pPr>
            <w:r>
              <w:rPr>
                <w:sz w:val="18"/>
              </w:rPr>
              <w:t>634</w:t>
            </w:r>
          </w:p>
        </w:tc>
        <w:tc>
          <w:tcPr>
            <w:tcW w:w="3180" w:type="dxa"/>
            <w:tcMar>
              <w:top w:w="0" w:type="dxa"/>
              <w:bottom w:w="0" w:type="dxa"/>
            </w:tcMar>
            <w:vAlign w:val="center"/>
          </w:tcPr>
          <w:p w14:paraId="6177F979" w14:textId="77777777" w:rsidR="005A6C09"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52AA822E" w14:textId="77777777" w:rsidR="005A6C09" w:rsidRDefault="00000000">
            <w:pPr>
              <w:keepNext/>
              <w:keepLines/>
              <w:spacing w:after="0" w:line="240" w:lineRule="auto"/>
            </w:pPr>
            <w:r>
              <w:rPr>
                <w:sz w:val="18"/>
              </w:rPr>
              <w:t>634</w:t>
            </w:r>
          </w:p>
        </w:tc>
        <w:tc>
          <w:tcPr>
            <w:tcW w:w="1860" w:type="dxa"/>
            <w:tcMar>
              <w:top w:w="0" w:type="dxa"/>
              <w:bottom w:w="0" w:type="dxa"/>
            </w:tcMar>
            <w:vAlign w:val="center"/>
          </w:tcPr>
          <w:p w14:paraId="7250F5C6" w14:textId="77777777" w:rsidR="005A6C09" w:rsidRDefault="00000000">
            <w:pPr>
              <w:keepNext/>
              <w:keepLines/>
              <w:spacing w:after="0" w:line="240" w:lineRule="auto"/>
              <w:jc w:val="right"/>
            </w:pPr>
            <w:r>
              <w:rPr>
                <w:sz w:val="18"/>
              </w:rPr>
              <w:t>88.935,40</w:t>
            </w:r>
          </w:p>
        </w:tc>
        <w:tc>
          <w:tcPr>
            <w:tcW w:w="1860" w:type="dxa"/>
            <w:tcMar>
              <w:top w:w="0" w:type="dxa"/>
              <w:bottom w:w="0" w:type="dxa"/>
            </w:tcMar>
            <w:vAlign w:val="center"/>
          </w:tcPr>
          <w:p w14:paraId="26F1AFAE" w14:textId="77777777" w:rsidR="005A6C09" w:rsidRDefault="00000000">
            <w:pPr>
              <w:keepNext/>
              <w:keepLines/>
              <w:spacing w:after="0" w:line="240" w:lineRule="auto"/>
              <w:jc w:val="right"/>
            </w:pPr>
            <w:r>
              <w:rPr>
                <w:sz w:val="18"/>
              </w:rPr>
              <w:t>69.000,00</w:t>
            </w:r>
          </w:p>
        </w:tc>
        <w:tc>
          <w:tcPr>
            <w:tcW w:w="700" w:type="dxa"/>
            <w:tcMar>
              <w:top w:w="0" w:type="dxa"/>
              <w:bottom w:w="0" w:type="dxa"/>
            </w:tcMar>
            <w:vAlign w:val="center"/>
          </w:tcPr>
          <w:p w14:paraId="20ED7EB4" w14:textId="77777777" w:rsidR="005A6C09" w:rsidRDefault="00000000">
            <w:pPr>
              <w:keepNext/>
              <w:keepLines/>
              <w:spacing w:after="0" w:line="240" w:lineRule="auto"/>
              <w:jc w:val="right"/>
            </w:pPr>
            <w:r>
              <w:rPr>
                <w:sz w:val="18"/>
              </w:rPr>
              <w:t>77,6</w:t>
            </w:r>
          </w:p>
        </w:tc>
      </w:tr>
    </w:tbl>
    <w:p w14:paraId="11973E0D" w14:textId="77777777" w:rsidR="005A6C09" w:rsidRDefault="005A6C09">
      <w:pPr>
        <w:spacing w:after="0"/>
      </w:pPr>
    </w:p>
    <w:p w14:paraId="72344034" w14:textId="77777777" w:rsidR="005A6C09" w:rsidRDefault="00000000">
      <w:r>
        <w:t>Pojašnjeno uz šifru 6342.</w:t>
      </w:r>
    </w:p>
    <w:p w14:paraId="598FEFAB" w14:textId="77777777" w:rsidR="005A6C09" w:rsidRDefault="005A6C09"/>
    <w:p w14:paraId="01EA58CE" w14:textId="77777777" w:rsidR="005A6C09"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777767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5D769C"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9BF2C1"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BC8371"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0B8222"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8C2465"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5D32ED" w14:textId="77777777" w:rsidR="005A6C09" w:rsidRDefault="00000000">
            <w:pPr>
              <w:keepNext/>
              <w:keepLines/>
              <w:spacing w:after="0" w:line="240" w:lineRule="auto"/>
              <w:jc w:val="center"/>
            </w:pPr>
            <w:r>
              <w:rPr>
                <w:b/>
                <w:sz w:val="18"/>
              </w:rPr>
              <w:t>Indeks (%)</w:t>
            </w:r>
          </w:p>
        </w:tc>
      </w:tr>
      <w:tr w:rsidR="005A6C09" w14:paraId="5D5CEF3B" w14:textId="77777777">
        <w:tblPrEx>
          <w:tblCellMar>
            <w:top w:w="0" w:type="dxa"/>
            <w:bottom w:w="0" w:type="dxa"/>
          </w:tblCellMar>
        </w:tblPrEx>
        <w:trPr>
          <w:cantSplit/>
          <w:trHeight w:val="560"/>
        </w:trPr>
        <w:tc>
          <w:tcPr>
            <w:tcW w:w="700" w:type="dxa"/>
            <w:tcMar>
              <w:top w:w="0" w:type="dxa"/>
              <w:bottom w:w="0" w:type="dxa"/>
            </w:tcMar>
            <w:vAlign w:val="center"/>
          </w:tcPr>
          <w:p w14:paraId="3AD2CB78" w14:textId="77777777" w:rsidR="005A6C09" w:rsidRDefault="00000000">
            <w:pPr>
              <w:keepNext/>
              <w:keepLines/>
              <w:spacing w:after="0" w:line="240" w:lineRule="auto"/>
            </w:pPr>
            <w:r>
              <w:rPr>
                <w:sz w:val="18"/>
              </w:rPr>
              <w:t>6342</w:t>
            </w:r>
          </w:p>
        </w:tc>
        <w:tc>
          <w:tcPr>
            <w:tcW w:w="3180" w:type="dxa"/>
            <w:tcMar>
              <w:top w:w="0" w:type="dxa"/>
              <w:bottom w:w="0" w:type="dxa"/>
            </w:tcMar>
            <w:vAlign w:val="center"/>
          </w:tcPr>
          <w:p w14:paraId="43D49B54" w14:textId="77777777" w:rsidR="005A6C09" w:rsidRDefault="00000000">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4E57AC19" w14:textId="77777777" w:rsidR="005A6C09" w:rsidRDefault="00000000">
            <w:pPr>
              <w:keepNext/>
              <w:keepLines/>
              <w:spacing w:after="0" w:line="240" w:lineRule="auto"/>
            </w:pPr>
            <w:r>
              <w:rPr>
                <w:sz w:val="18"/>
              </w:rPr>
              <w:t>6342</w:t>
            </w:r>
          </w:p>
        </w:tc>
        <w:tc>
          <w:tcPr>
            <w:tcW w:w="1860" w:type="dxa"/>
            <w:tcMar>
              <w:top w:w="0" w:type="dxa"/>
              <w:bottom w:w="0" w:type="dxa"/>
            </w:tcMar>
            <w:vAlign w:val="center"/>
          </w:tcPr>
          <w:p w14:paraId="147218F8" w14:textId="77777777" w:rsidR="005A6C09" w:rsidRDefault="00000000">
            <w:pPr>
              <w:keepNext/>
              <w:keepLines/>
              <w:spacing w:after="0" w:line="240" w:lineRule="auto"/>
              <w:jc w:val="right"/>
            </w:pPr>
            <w:r>
              <w:rPr>
                <w:sz w:val="18"/>
              </w:rPr>
              <w:t>75.000,00</w:t>
            </w:r>
          </w:p>
        </w:tc>
        <w:tc>
          <w:tcPr>
            <w:tcW w:w="1860" w:type="dxa"/>
            <w:tcMar>
              <w:top w:w="0" w:type="dxa"/>
              <w:bottom w:w="0" w:type="dxa"/>
            </w:tcMar>
            <w:vAlign w:val="center"/>
          </w:tcPr>
          <w:p w14:paraId="7834AC6B" w14:textId="77777777" w:rsidR="005A6C09" w:rsidRDefault="00000000">
            <w:pPr>
              <w:keepNext/>
              <w:keepLines/>
              <w:spacing w:after="0" w:line="240" w:lineRule="auto"/>
              <w:jc w:val="right"/>
            </w:pPr>
            <w:r>
              <w:rPr>
                <w:sz w:val="18"/>
              </w:rPr>
              <w:t>69.000,00</w:t>
            </w:r>
          </w:p>
        </w:tc>
        <w:tc>
          <w:tcPr>
            <w:tcW w:w="700" w:type="dxa"/>
            <w:tcMar>
              <w:top w:w="0" w:type="dxa"/>
              <w:bottom w:w="0" w:type="dxa"/>
            </w:tcMar>
            <w:vAlign w:val="center"/>
          </w:tcPr>
          <w:p w14:paraId="17C78C45" w14:textId="77777777" w:rsidR="005A6C09" w:rsidRDefault="00000000">
            <w:pPr>
              <w:keepNext/>
              <w:keepLines/>
              <w:spacing w:after="0" w:line="240" w:lineRule="auto"/>
              <w:jc w:val="right"/>
            </w:pPr>
            <w:r>
              <w:rPr>
                <w:sz w:val="18"/>
              </w:rPr>
              <w:t>92,0</w:t>
            </w:r>
          </w:p>
        </w:tc>
      </w:tr>
    </w:tbl>
    <w:p w14:paraId="5152A52A" w14:textId="77777777" w:rsidR="005A6C09" w:rsidRDefault="005A6C09">
      <w:pPr>
        <w:spacing w:after="0"/>
      </w:pPr>
    </w:p>
    <w:p w14:paraId="6A972A53" w14:textId="77777777" w:rsidR="005A6C09" w:rsidRDefault="00000000">
      <w:r>
        <w:t xml:space="preserve">Odnosi se na </w:t>
      </w:r>
      <w:proofErr w:type="spellStart"/>
      <w:r>
        <w:t>na</w:t>
      </w:r>
      <w:proofErr w:type="spellEnd"/>
      <w:r>
        <w:t xml:space="preserve"> evidentiranu uplatu pomoći Županijske uprave za ceste Međimurske županije za 1. uporabnu cjelinu izgradnje </w:t>
      </w:r>
      <w:proofErr w:type="spellStart"/>
      <w:r>
        <w:t>pjesačke</w:t>
      </w:r>
      <w:proofErr w:type="spellEnd"/>
      <w:r>
        <w:t xml:space="preserve"> staze u ulici </w:t>
      </w:r>
      <w:proofErr w:type="spellStart"/>
      <w:r>
        <w:t>Brodec</w:t>
      </w:r>
      <w:proofErr w:type="spellEnd"/>
      <w:r>
        <w:t xml:space="preserve"> u </w:t>
      </w:r>
      <w:proofErr w:type="spellStart"/>
      <w:r>
        <w:t>Vratišincu</w:t>
      </w:r>
      <w:proofErr w:type="spellEnd"/>
      <w:r>
        <w:t xml:space="preserve"> po sporazumu.</w:t>
      </w:r>
    </w:p>
    <w:p w14:paraId="443FABD6" w14:textId="77777777" w:rsidR="005A6C09" w:rsidRDefault="005A6C09"/>
    <w:p w14:paraId="59B009FB" w14:textId="77777777" w:rsidR="005A6C09"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57A79F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7BC8D6"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D48DBD"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4E56E4"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682A65"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2F15B1"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601F8F" w14:textId="77777777" w:rsidR="005A6C09" w:rsidRDefault="00000000">
            <w:pPr>
              <w:keepNext/>
              <w:keepLines/>
              <w:spacing w:after="0" w:line="240" w:lineRule="auto"/>
              <w:jc w:val="center"/>
            </w:pPr>
            <w:r>
              <w:rPr>
                <w:b/>
                <w:sz w:val="18"/>
              </w:rPr>
              <w:t>Indeks (%)</w:t>
            </w:r>
          </w:p>
        </w:tc>
      </w:tr>
      <w:tr w:rsidR="005A6C09" w14:paraId="5449FAE8" w14:textId="77777777">
        <w:tblPrEx>
          <w:tblCellMar>
            <w:top w:w="0" w:type="dxa"/>
            <w:bottom w:w="0" w:type="dxa"/>
          </w:tblCellMar>
        </w:tblPrEx>
        <w:trPr>
          <w:cantSplit/>
          <w:trHeight w:val="560"/>
        </w:trPr>
        <w:tc>
          <w:tcPr>
            <w:tcW w:w="700" w:type="dxa"/>
            <w:tcMar>
              <w:top w:w="0" w:type="dxa"/>
              <w:bottom w:w="0" w:type="dxa"/>
            </w:tcMar>
            <w:vAlign w:val="center"/>
          </w:tcPr>
          <w:p w14:paraId="5497D59E" w14:textId="77777777" w:rsidR="005A6C09" w:rsidRDefault="00000000">
            <w:pPr>
              <w:keepNext/>
              <w:keepLines/>
              <w:spacing w:after="0" w:line="240" w:lineRule="auto"/>
            </w:pPr>
            <w:r>
              <w:rPr>
                <w:sz w:val="18"/>
              </w:rPr>
              <w:t>64</w:t>
            </w:r>
          </w:p>
        </w:tc>
        <w:tc>
          <w:tcPr>
            <w:tcW w:w="3180" w:type="dxa"/>
            <w:tcMar>
              <w:top w:w="0" w:type="dxa"/>
              <w:bottom w:w="0" w:type="dxa"/>
            </w:tcMar>
            <w:vAlign w:val="center"/>
          </w:tcPr>
          <w:p w14:paraId="5FEAFD84" w14:textId="77777777" w:rsidR="005A6C09"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550C991A" w14:textId="77777777" w:rsidR="005A6C09" w:rsidRDefault="00000000">
            <w:pPr>
              <w:keepNext/>
              <w:keepLines/>
              <w:spacing w:after="0" w:line="240" w:lineRule="auto"/>
            </w:pPr>
            <w:r>
              <w:rPr>
                <w:sz w:val="18"/>
              </w:rPr>
              <w:t>64</w:t>
            </w:r>
          </w:p>
        </w:tc>
        <w:tc>
          <w:tcPr>
            <w:tcW w:w="1860" w:type="dxa"/>
            <w:tcMar>
              <w:top w:w="0" w:type="dxa"/>
              <w:bottom w:w="0" w:type="dxa"/>
            </w:tcMar>
            <w:vAlign w:val="center"/>
          </w:tcPr>
          <w:p w14:paraId="5F5A66B7" w14:textId="77777777" w:rsidR="005A6C09" w:rsidRDefault="00000000">
            <w:pPr>
              <w:keepNext/>
              <w:keepLines/>
              <w:spacing w:after="0" w:line="240" w:lineRule="auto"/>
              <w:jc w:val="right"/>
            </w:pPr>
            <w:r>
              <w:rPr>
                <w:sz w:val="18"/>
              </w:rPr>
              <w:t>43.979,55</w:t>
            </w:r>
          </w:p>
        </w:tc>
        <w:tc>
          <w:tcPr>
            <w:tcW w:w="1860" w:type="dxa"/>
            <w:tcMar>
              <w:top w:w="0" w:type="dxa"/>
              <w:bottom w:w="0" w:type="dxa"/>
            </w:tcMar>
            <w:vAlign w:val="center"/>
          </w:tcPr>
          <w:p w14:paraId="2A236661" w14:textId="77777777" w:rsidR="005A6C09" w:rsidRDefault="00000000">
            <w:pPr>
              <w:keepNext/>
              <w:keepLines/>
              <w:spacing w:after="0" w:line="240" w:lineRule="auto"/>
              <w:jc w:val="right"/>
            </w:pPr>
            <w:r>
              <w:rPr>
                <w:sz w:val="18"/>
              </w:rPr>
              <w:t>7.385,85</w:t>
            </w:r>
          </w:p>
        </w:tc>
        <w:tc>
          <w:tcPr>
            <w:tcW w:w="700" w:type="dxa"/>
            <w:tcMar>
              <w:top w:w="0" w:type="dxa"/>
              <w:bottom w:w="0" w:type="dxa"/>
            </w:tcMar>
            <w:vAlign w:val="center"/>
          </w:tcPr>
          <w:p w14:paraId="2B1B604C" w14:textId="77777777" w:rsidR="005A6C09" w:rsidRDefault="00000000">
            <w:pPr>
              <w:keepNext/>
              <w:keepLines/>
              <w:spacing w:after="0" w:line="240" w:lineRule="auto"/>
              <w:jc w:val="right"/>
            </w:pPr>
            <w:r>
              <w:rPr>
                <w:sz w:val="18"/>
              </w:rPr>
              <w:t>16,8</w:t>
            </w:r>
          </w:p>
        </w:tc>
      </w:tr>
    </w:tbl>
    <w:p w14:paraId="352B7212" w14:textId="77777777" w:rsidR="005A6C09" w:rsidRDefault="005A6C09">
      <w:pPr>
        <w:spacing w:after="0"/>
      </w:pPr>
    </w:p>
    <w:p w14:paraId="5EC3E392" w14:textId="77777777" w:rsidR="005A6C09" w:rsidRDefault="00000000">
      <w:r>
        <w:t>Prihodi od imovine u izvještajnom razdoblju ostvareni su u iznosu od 7.385,85 EUR, što predstavlja smanjenje od 36.593,70 EUR odnosno ostvarenje od 16,8 % u odnosu na prethodno izvještajno razdoblje kada su iznosili 43.979,55 EUR.</w:t>
      </w:r>
    </w:p>
    <w:p w14:paraId="1BFE3960" w14:textId="77777777" w:rsidR="005A6C09" w:rsidRDefault="00000000">
      <w:r>
        <w:t>Najznačajniji razlog smanjenja odnosi se na prihode od naknada za korištenje nefinancijske imovine, odnosno prihode ostvarene po osnovi eksploatacije, koji su u prethodnom razdoblju značajno utjecali na visinu ukupnih prihoda od imovine, dok u tekućem razdoblju Općina ne ostvaruje navedene prihode. U tekućem razdoblju po toj osnovi ostvareno je svega 445,41 EUR. Ostali prihodi od imovine ostvareni su približno na razini prethodnog razdoblja, uz manje promjene u prihodima od zakupa i iznajmljivanja imovine te prihodima od financijske imovine.</w:t>
      </w:r>
    </w:p>
    <w:p w14:paraId="02EBC97B" w14:textId="77777777" w:rsidR="005A6C09" w:rsidRDefault="005A6C09"/>
    <w:p w14:paraId="2A9D309A" w14:textId="77777777" w:rsidR="005A6C09"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4F07F1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5E5145"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60C64B"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3F965"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A382D6"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DF4234"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FBA57A" w14:textId="77777777" w:rsidR="005A6C09" w:rsidRDefault="00000000">
            <w:pPr>
              <w:keepNext/>
              <w:keepLines/>
              <w:spacing w:after="0" w:line="240" w:lineRule="auto"/>
              <w:jc w:val="center"/>
            </w:pPr>
            <w:r>
              <w:rPr>
                <w:b/>
                <w:sz w:val="18"/>
              </w:rPr>
              <w:t>Indeks (%)</w:t>
            </w:r>
          </w:p>
        </w:tc>
      </w:tr>
      <w:tr w:rsidR="005A6C09" w14:paraId="2224D893" w14:textId="77777777">
        <w:tblPrEx>
          <w:tblCellMar>
            <w:top w:w="0" w:type="dxa"/>
            <w:bottom w:w="0" w:type="dxa"/>
          </w:tblCellMar>
        </w:tblPrEx>
        <w:trPr>
          <w:cantSplit/>
          <w:trHeight w:val="560"/>
        </w:trPr>
        <w:tc>
          <w:tcPr>
            <w:tcW w:w="700" w:type="dxa"/>
            <w:tcMar>
              <w:top w:w="0" w:type="dxa"/>
              <w:bottom w:w="0" w:type="dxa"/>
            </w:tcMar>
            <w:vAlign w:val="center"/>
          </w:tcPr>
          <w:p w14:paraId="7EDA76DB" w14:textId="77777777" w:rsidR="005A6C09" w:rsidRDefault="00000000">
            <w:pPr>
              <w:keepNext/>
              <w:keepLines/>
              <w:spacing w:after="0" w:line="240" w:lineRule="auto"/>
            </w:pPr>
            <w:r>
              <w:rPr>
                <w:sz w:val="18"/>
              </w:rPr>
              <w:t>311</w:t>
            </w:r>
          </w:p>
        </w:tc>
        <w:tc>
          <w:tcPr>
            <w:tcW w:w="3180" w:type="dxa"/>
            <w:tcMar>
              <w:top w:w="0" w:type="dxa"/>
              <w:bottom w:w="0" w:type="dxa"/>
            </w:tcMar>
            <w:vAlign w:val="center"/>
          </w:tcPr>
          <w:p w14:paraId="1E0E9F81" w14:textId="77777777" w:rsidR="005A6C09"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3209D9BA" w14:textId="77777777" w:rsidR="005A6C09" w:rsidRDefault="00000000">
            <w:pPr>
              <w:keepNext/>
              <w:keepLines/>
              <w:spacing w:after="0" w:line="240" w:lineRule="auto"/>
            </w:pPr>
            <w:r>
              <w:rPr>
                <w:sz w:val="18"/>
              </w:rPr>
              <w:t>311</w:t>
            </w:r>
          </w:p>
        </w:tc>
        <w:tc>
          <w:tcPr>
            <w:tcW w:w="1860" w:type="dxa"/>
            <w:tcMar>
              <w:top w:w="0" w:type="dxa"/>
              <w:bottom w:w="0" w:type="dxa"/>
            </w:tcMar>
            <w:vAlign w:val="center"/>
          </w:tcPr>
          <w:p w14:paraId="3EF28172" w14:textId="77777777" w:rsidR="005A6C09" w:rsidRDefault="00000000">
            <w:pPr>
              <w:keepNext/>
              <w:keepLines/>
              <w:spacing w:after="0" w:line="240" w:lineRule="auto"/>
              <w:jc w:val="right"/>
            </w:pPr>
            <w:r>
              <w:rPr>
                <w:sz w:val="18"/>
              </w:rPr>
              <w:t>56.466,83</w:t>
            </w:r>
          </w:p>
        </w:tc>
        <w:tc>
          <w:tcPr>
            <w:tcW w:w="1860" w:type="dxa"/>
            <w:tcMar>
              <w:top w:w="0" w:type="dxa"/>
              <w:bottom w:w="0" w:type="dxa"/>
            </w:tcMar>
            <w:vAlign w:val="center"/>
          </w:tcPr>
          <w:p w14:paraId="785CDA30" w14:textId="77777777" w:rsidR="005A6C09" w:rsidRDefault="00000000">
            <w:pPr>
              <w:keepNext/>
              <w:keepLines/>
              <w:spacing w:after="0" w:line="240" w:lineRule="auto"/>
              <w:jc w:val="right"/>
            </w:pPr>
            <w:r>
              <w:rPr>
                <w:sz w:val="18"/>
              </w:rPr>
              <w:t>62.819,16</w:t>
            </w:r>
          </w:p>
        </w:tc>
        <w:tc>
          <w:tcPr>
            <w:tcW w:w="700" w:type="dxa"/>
            <w:tcMar>
              <w:top w:w="0" w:type="dxa"/>
              <w:bottom w:w="0" w:type="dxa"/>
            </w:tcMar>
            <w:vAlign w:val="center"/>
          </w:tcPr>
          <w:p w14:paraId="1D2B533C" w14:textId="77777777" w:rsidR="005A6C09" w:rsidRDefault="00000000">
            <w:pPr>
              <w:keepNext/>
              <w:keepLines/>
              <w:spacing w:after="0" w:line="240" w:lineRule="auto"/>
              <w:jc w:val="right"/>
            </w:pPr>
            <w:r>
              <w:rPr>
                <w:sz w:val="18"/>
              </w:rPr>
              <w:t>111,2</w:t>
            </w:r>
          </w:p>
        </w:tc>
      </w:tr>
    </w:tbl>
    <w:p w14:paraId="7A954695" w14:textId="77777777" w:rsidR="005A6C09" w:rsidRDefault="005A6C09">
      <w:pPr>
        <w:spacing w:after="0"/>
      </w:pPr>
    </w:p>
    <w:p w14:paraId="4BC1B166" w14:textId="77777777" w:rsidR="005A6C09" w:rsidRDefault="00000000">
      <w:r>
        <w:t>Rashodi za plaće (bruto) u izvještajnom razdoblju ostvareni su u iznosu od 62.819,16 EUR, što predstavlja povećanje od 6.352,33 EUR, odnosno 11,2 % u odnosu na prethodno izvještajno razdoblje kada su iznosili 56.466,83 EUR.</w:t>
      </w:r>
    </w:p>
    <w:p w14:paraId="60BF65DA" w14:textId="77777777" w:rsidR="005A6C09" w:rsidRDefault="00000000">
      <w:r>
        <w:t xml:space="preserve">Povećanje rashoda za plaće rezultat je isplate plaća za sve zaposlene u punom iznosu tijekom izvještajnog razdoblja, dok su u prethodnom razdoblju rashodi bili umanjeni zbog korištenja prava na roditeljski dopust i isplate plaća u smanjenom opsegu. Dodatno, na povećanje je </w:t>
      </w:r>
      <w:r>
        <w:lastRenderedPageBreak/>
        <w:t>utjecalo i povećanje osnovice za obračun plaće, što je sukladno tome rezultiralo većim ukupnim izdacima za plaće.</w:t>
      </w:r>
    </w:p>
    <w:p w14:paraId="29B34732" w14:textId="77777777" w:rsidR="005A6C09" w:rsidRDefault="005A6C09"/>
    <w:p w14:paraId="5DBF0B53" w14:textId="77777777" w:rsidR="005A6C09"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0891E7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2257E8"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931036"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E1B28B"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8B70E9"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77827F"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D61289" w14:textId="77777777" w:rsidR="005A6C09" w:rsidRDefault="00000000">
            <w:pPr>
              <w:keepNext/>
              <w:keepLines/>
              <w:spacing w:after="0" w:line="240" w:lineRule="auto"/>
              <w:jc w:val="center"/>
            </w:pPr>
            <w:r>
              <w:rPr>
                <w:b/>
                <w:sz w:val="18"/>
              </w:rPr>
              <w:t>Indeks (%)</w:t>
            </w:r>
          </w:p>
        </w:tc>
      </w:tr>
      <w:tr w:rsidR="005A6C09" w14:paraId="6B7E321F" w14:textId="77777777">
        <w:tblPrEx>
          <w:tblCellMar>
            <w:top w:w="0" w:type="dxa"/>
            <w:bottom w:w="0" w:type="dxa"/>
          </w:tblCellMar>
        </w:tblPrEx>
        <w:trPr>
          <w:cantSplit/>
          <w:trHeight w:val="560"/>
        </w:trPr>
        <w:tc>
          <w:tcPr>
            <w:tcW w:w="700" w:type="dxa"/>
            <w:tcMar>
              <w:top w:w="0" w:type="dxa"/>
              <w:bottom w:w="0" w:type="dxa"/>
            </w:tcMar>
            <w:vAlign w:val="center"/>
          </w:tcPr>
          <w:p w14:paraId="6075F7F0" w14:textId="77777777" w:rsidR="005A6C09" w:rsidRDefault="00000000">
            <w:pPr>
              <w:keepNext/>
              <w:keepLines/>
              <w:spacing w:after="0" w:line="240" w:lineRule="auto"/>
            </w:pPr>
            <w:r>
              <w:rPr>
                <w:sz w:val="18"/>
              </w:rPr>
              <w:t>343</w:t>
            </w:r>
          </w:p>
        </w:tc>
        <w:tc>
          <w:tcPr>
            <w:tcW w:w="3180" w:type="dxa"/>
            <w:tcMar>
              <w:top w:w="0" w:type="dxa"/>
              <w:bottom w:w="0" w:type="dxa"/>
            </w:tcMar>
            <w:vAlign w:val="center"/>
          </w:tcPr>
          <w:p w14:paraId="28B59DF0" w14:textId="77777777" w:rsidR="005A6C09"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5A78BB4E" w14:textId="77777777" w:rsidR="005A6C09" w:rsidRDefault="00000000">
            <w:pPr>
              <w:keepNext/>
              <w:keepLines/>
              <w:spacing w:after="0" w:line="240" w:lineRule="auto"/>
            </w:pPr>
            <w:r>
              <w:rPr>
                <w:sz w:val="18"/>
              </w:rPr>
              <w:t>343</w:t>
            </w:r>
          </w:p>
        </w:tc>
        <w:tc>
          <w:tcPr>
            <w:tcW w:w="1860" w:type="dxa"/>
            <w:tcMar>
              <w:top w:w="0" w:type="dxa"/>
              <w:bottom w:w="0" w:type="dxa"/>
            </w:tcMar>
            <w:vAlign w:val="center"/>
          </w:tcPr>
          <w:p w14:paraId="64B6853D" w14:textId="77777777" w:rsidR="005A6C09" w:rsidRDefault="00000000">
            <w:pPr>
              <w:keepNext/>
              <w:keepLines/>
              <w:spacing w:after="0" w:line="240" w:lineRule="auto"/>
              <w:jc w:val="right"/>
            </w:pPr>
            <w:r>
              <w:rPr>
                <w:sz w:val="18"/>
              </w:rPr>
              <w:t>717,31</w:t>
            </w:r>
          </w:p>
        </w:tc>
        <w:tc>
          <w:tcPr>
            <w:tcW w:w="1860" w:type="dxa"/>
            <w:tcMar>
              <w:top w:w="0" w:type="dxa"/>
              <w:bottom w:w="0" w:type="dxa"/>
            </w:tcMar>
            <w:vAlign w:val="center"/>
          </w:tcPr>
          <w:p w14:paraId="49225033" w14:textId="77777777" w:rsidR="005A6C09" w:rsidRDefault="00000000">
            <w:pPr>
              <w:keepNext/>
              <w:keepLines/>
              <w:spacing w:after="0" w:line="240" w:lineRule="auto"/>
              <w:jc w:val="right"/>
            </w:pPr>
            <w:r>
              <w:rPr>
                <w:sz w:val="18"/>
              </w:rPr>
              <w:t>25.766,72</w:t>
            </w:r>
          </w:p>
        </w:tc>
        <w:tc>
          <w:tcPr>
            <w:tcW w:w="700" w:type="dxa"/>
            <w:tcMar>
              <w:top w:w="0" w:type="dxa"/>
              <w:bottom w:w="0" w:type="dxa"/>
            </w:tcMar>
            <w:vAlign w:val="center"/>
          </w:tcPr>
          <w:p w14:paraId="446B829A" w14:textId="77777777" w:rsidR="005A6C09" w:rsidRDefault="00000000">
            <w:pPr>
              <w:keepNext/>
              <w:keepLines/>
              <w:spacing w:after="0" w:line="240" w:lineRule="auto"/>
              <w:jc w:val="right"/>
            </w:pPr>
            <w:r>
              <w:rPr>
                <w:sz w:val="18"/>
              </w:rPr>
              <w:t>3592,1</w:t>
            </w:r>
          </w:p>
        </w:tc>
      </w:tr>
    </w:tbl>
    <w:p w14:paraId="6355C9D8" w14:textId="77777777" w:rsidR="005A6C09" w:rsidRDefault="005A6C09">
      <w:pPr>
        <w:spacing w:after="0"/>
      </w:pPr>
    </w:p>
    <w:p w14:paraId="6D2D4399" w14:textId="77777777" w:rsidR="005A6C09" w:rsidRDefault="00000000">
      <w:r>
        <w:t>-</w:t>
      </w:r>
    </w:p>
    <w:p w14:paraId="7C874681" w14:textId="77777777" w:rsidR="005A6C09" w:rsidRDefault="005A6C09"/>
    <w:p w14:paraId="6CA8C1DD" w14:textId="77777777" w:rsidR="005A6C09"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2BFAA1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2236FE"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A483EB"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659974"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CAAC4"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F000D0"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5BFCB5" w14:textId="77777777" w:rsidR="005A6C09" w:rsidRDefault="00000000">
            <w:pPr>
              <w:keepNext/>
              <w:keepLines/>
              <w:spacing w:after="0" w:line="240" w:lineRule="auto"/>
              <w:jc w:val="center"/>
            </w:pPr>
            <w:r>
              <w:rPr>
                <w:b/>
                <w:sz w:val="18"/>
              </w:rPr>
              <w:t>Indeks (%)</w:t>
            </w:r>
          </w:p>
        </w:tc>
      </w:tr>
      <w:tr w:rsidR="005A6C09" w14:paraId="042FF1A8" w14:textId="77777777">
        <w:tblPrEx>
          <w:tblCellMar>
            <w:top w:w="0" w:type="dxa"/>
            <w:bottom w:w="0" w:type="dxa"/>
          </w:tblCellMar>
        </w:tblPrEx>
        <w:trPr>
          <w:cantSplit/>
          <w:trHeight w:val="560"/>
        </w:trPr>
        <w:tc>
          <w:tcPr>
            <w:tcW w:w="700" w:type="dxa"/>
            <w:tcMar>
              <w:top w:w="0" w:type="dxa"/>
              <w:bottom w:w="0" w:type="dxa"/>
            </w:tcMar>
            <w:vAlign w:val="center"/>
          </w:tcPr>
          <w:p w14:paraId="4902DA6E" w14:textId="77777777" w:rsidR="005A6C09" w:rsidRDefault="00000000">
            <w:pPr>
              <w:keepNext/>
              <w:keepLines/>
              <w:spacing w:after="0" w:line="240" w:lineRule="auto"/>
            </w:pPr>
            <w:r>
              <w:rPr>
                <w:sz w:val="18"/>
              </w:rPr>
              <w:t>3433</w:t>
            </w:r>
          </w:p>
        </w:tc>
        <w:tc>
          <w:tcPr>
            <w:tcW w:w="3180" w:type="dxa"/>
            <w:tcMar>
              <w:top w:w="0" w:type="dxa"/>
              <w:bottom w:w="0" w:type="dxa"/>
            </w:tcMar>
            <w:vAlign w:val="center"/>
          </w:tcPr>
          <w:p w14:paraId="0D827718" w14:textId="77777777" w:rsidR="005A6C09" w:rsidRDefault="00000000">
            <w:pPr>
              <w:keepNext/>
              <w:keepLines/>
              <w:spacing w:after="0" w:line="240" w:lineRule="auto"/>
            </w:pPr>
            <w:r>
              <w:rPr>
                <w:sz w:val="18"/>
              </w:rPr>
              <w:t>Zatezne kamate</w:t>
            </w:r>
          </w:p>
        </w:tc>
        <w:tc>
          <w:tcPr>
            <w:tcW w:w="700" w:type="dxa"/>
            <w:tcMar>
              <w:top w:w="0" w:type="dxa"/>
              <w:bottom w:w="0" w:type="dxa"/>
            </w:tcMar>
            <w:vAlign w:val="center"/>
          </w:tcPr>
          <w:p w14:paraId="611F91FC" w14:textId="77777777" w:rsidR="005A6C09" w:rsidRDefault="00000000">
            <w:pPr>
              <w:keepNext/>
              <w:keepLines/>
              <w:spacing w:after="0" w:line="240" w:lineRule="auto"/>
            </w:pPr>
            <w:r>
              <w:rPr>
                <w:sz w:val="18"/>
              </w:rPr>
              <w:t>3433</w:t>
            </w:r>
          </w:p>
        </w:tc>
        <w:tc>
          <w:tcPr>
            <w:tcW w:w="1860" w:type="dxa"/>
            <w:tcMar>
              <w:top w:w="0" w:type="dxa"/>
              <w:bottom w:w="0" w:type="dxa"/>
            </w:tcMar>
            <w:vAlign w:val="center"/>
          </w:tcPr>
          <w:p w14:paraId="13304837" w14:textId="77777777" w:rsidR="005A6C09" w:rsidRDefault="00000000">
            <w:pPr>
              <w:keepNext/>
              <w:keepLines/>
              <w:spacing w:after="0" w:line="240" w:lineRule="auto"/>
              <w:jc w:val="right"/>
            </w:pPr>
            <w:r>
              <w:rPr>
                <w:sz w:val="18"/>
              </w:rPr>
              <w:t>1,38</w:t>
            </w:r>
          </w:p>
        </w:tc>
        <w:tc>
          <w:tcPr>
            <w:tcW w:w="1860" w:type="dxa"/>
            <w:tcMar>
              <w:top w:w="0" w:type="dxa"/>
              <w:bottom w:w="0" w:type="dxa"/>
            </w:tcMar>
            <w:vAlign w:val="center"/>
          </w:tcPr>
          <w:p w14:paraId="3E4F2D63" w14:textId="77777777" w:rsidR="005A6C09" w:rsidRDefault="00000000">
            <w:pPr>
              <w:keepNext/>
              <w:keepLines/>
              <w:spacing w:after="0" w:line="240" w:lineRule="auto"/>
              <w:jc w:val="right"/>
            </w:pPr>
            <w:r>
              <w:rPr>
                <w:sz w:val="18"/>
              </w:rPr>
              <w:t>24.128,37</w:t>
            </w:r>
          </w:p>
        </w:tc>
        <w:tc>
          <w:tcPr>
            <w:tcW w:w="700" w:type="dxa"/>
            <w:tcMar>
              <w:top w:w="0" w:type="dxa"/>
              <w:bottom w:w="0" w:type="dxa"/>
            </w:tcMar>
            <w:vAlign w:val="center"/>
          </w:tcPr>
          <w:p w14:paraId="7E8D0CC6" w14:textId="77777777" w:rsidR="005A6C09" w:rsidRDefault="00000000">
            <w:pPr>
              <w:keepNext/>
              <w:keepLines/>
              <w:spacing w:after="0" w:line="240" w:lineRule="auto"/>
              <w:jc w:val="right"/>
            </w:pPr>
            <w:r>
              <w:rPr>
                <w:sz w:val="18"/>
              </w:rPr>
              <w:t>&gt;&gt;100</w:t>
            </w:r>
          </w:p>
        </w:tc>
      </w:tr>
    </w:tbl>
    <w:p w14:paraId="3E5678E6" w14:textId="77777777" w:rsidR="005A6C09" w:rsidRDefault="005A6C09">
      <w:pPr>
        <w:spacing w:after="0"/>
      </w:pPr>
    </w:p>
    <w:p w14:paraId="1668D23E" w14:textId="77777777" w:rsidR="005A6C09" w:rsidRDefault="00000000">
      <w:r>
        <w:t>Rashodi za zatezne kamate u izvještajnom razdoblju ostvareni su u iznosu od 24.128,37 EUR, dok su u prethodnom izvještajnom razdoblju iznosili 1,38 EUR.</w:t>
      </w:r>
    </w:p>
    <w:p w14:paraId="4E566153" w14:textId="77777777" w:rsidR="005A6C09" w:rsidRDefault="00000000">
      <w:r>
        <w:t>Značajno povećanje rezultat je evidentiranja obveze za zatezne kamate temeljem sudske nagodbe, sukladno preuzetim obvezama utvrđenim nagodbom. Navedena obveza podmiruje se u skladu s ugovorenom dinamikom otplate.</w:t>
      </w:r>
    </w:p>
    <w:p w14:paraId="62E08DF5" w14:textId="77777777" w:rsidR="005A6C09" w:rsidRDefault="005A6C09"/>
    <w:p w14:paraId="5BB2E3EB" w14:textId="77777777" w:rsidR="005A6C09"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1FD44C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DE8822"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19716C"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20F375"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28A452"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34CF4E"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01C44B" w14:textId="77777777" w:rsidR="005A6C09" w:rsidRDefault="00000000">
            <w:pPr>
              <w:keepNext/>
              <w:keepLines/>
              <w:spacing w:after="0" w:line="240" w:lineRule="auto"/>
              <w:jc w:val="center"/>
            </w:pPr>
            <w:r>
              <w:rPr>
                <w:b/>
                <w:sz w:val="18"/>
              </w:rPr>
              <w:t>Indeks (%)</w:t>
            </w:r>
          </w:p>
        </w:tc>
      </w:tr>
      <w:tr w:rsidR="005A6C09" w14:paraId="13FE565E" w14:textId="77777777">
        <w:tblPrEx>
          <w:tblCellMar>
            <w:top w:w="0" w:type="dxa"/>
            <w:bottom w:w="0" w:type="dxa"/>
          </w:tblCellMar>
        </w:tblPrEx>
        <w:trPr>
          <w:cantSplit/>
          <w:trHeight w:val="560"/>
        </w:trPr>
        <w:tc>
          <w:tcPr>
            <w:tcW w:w="700" w:type="dxa"/>
            <w:tcMar>
              <w:top w:w="0" w:type="dxa"/>
              <w:bottom w:w="0" w:type="dxa"/>
            </w:tcMar>
            <w:vAlign w:val="center"/>
          </w:tcPr>
          <w:p w14:paraId="2E965990" w14:textId="77777777" w:rsidR="005A6C09" w:rsidRDefault="00000000">
            <w:pPr>
              <w:keepNext/>
              <w:keepLines/>
              <w:spacing w:after="0" w:line="240" w:lineRule="auto"/>
            </w:pPr>
            <w:r>
              <w:rPr>
                <w:sz w:val="18"/>
              </w:rPr>
              <w:t>363</w:t>
            </w:r>
          </w:p>
        </w:tc>
        <w:tc>
          <w:tcPr>
            <w:tcW w:w="3180" w:type="dxa"/>
            <w:tcMar>
              <w:top w:w="0" w:type="dxa"/>
              <w:bottom w:w="0" w:type="dxa"/>
            </w:tcMar>
            <w:vAlign w:val="center"/>
          </w:tcPr>
          <w:p w14:paraId="58F6AC86" w14:textId="77777777" w:rsidR="005A6C09" w:rsidRDefault="00000000">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0A4567E6" w14:textId="77777777" w:rsidR="005A6C09" w:rsidRDefault="00000000">
            <w:pPr>
              <w:keepNext/>
              <w:keepLines/>
              <w:spacing w:after="0" w:line="240" w:lineRule="auto"/>
            </w:pPr>
            <w:r>
              <w:rPr>
                <w:sz w:val="18"/>
              </w:rPr>
              <w:t>363</w:t>
            </w:r>
          </w:p>
        </w:tc>
        <w:tc>
          <w:tcPr>
            <w:tcW w:w="1860" w:type="dxa"/>
            <w:tcMar>
              <w:top w:w="0" w:type="dxa"/>
              <w:bottom w:w="0" w:type="dxa"/>
            </w:tcMar>
            <w:vAlign w:val="center"/>
          </w:tcPr>
          <w:p w14:paraId="23AFA684" w14:textId="77777777" w:rsidR="005A6C09" w:rsidRDefault="00000000">
            <w:pPr>
              <w:keepNext/>
              <w:keepLines/>
              <w:spacing w:after="0" w:line="240" w:lineRule="auto"/>
              <w:jc w:val="right"/>
            </w:pPr>
            <w:r>
              <w:rPr>
                <w:sz w:val="18"/>
              </w:rPr>
              <w:t>6.973,00</w:t>
            </w:r>
          </w:p>
        </w:tc>
        <w:tc>
          <w:tcPr>
            <w:tcW w:w="1860" w:type="dxa"/>
            <w:tcMar>
              <w:top w:w="0" w:type="dxa"/>
              <w:bottom w:w="0" w:type="dxa"/>
            </w:tcMar>
            <w:vAlign w:val="center"/>
          </w:tcPr>
          <w:p w14:paraId="2493E621" w14:textId="77777777" w:rsidR="005A6C09" w:rsidRDefault="00000000">
            <w:pPr>
              <w:keepNext/>
              <w:keepLines/>
              <w:spacing w:after="0" w:line="240" w:lineRule="auto"/>
              <w:jc w:val="right"/>
            </w:pPr>
            <w:r>
              <w:rPr>
                <w:sz w:val="18"/>
              </w:rPr>
              <w:t>3.400,00</w:t>
            </w:r>
          </w:p>
        </w:tc>
        <w:tc>
          <w:tcPr>
            <w:tcW w:w="700" w:type="dxa"/>
            <w:tcMar>
              <w:top w:w="0" w:type="dxa"/>
              <w:bottom w:w="0" w:type="dxa"/>
            </w:tcMar>
            <w:vAlign w:val="center"/>
          </w:tcPr>
          <w:p w14:paraId="58F0411A" w14:textId="77777777" w:rsidR="005A6C09" w:rsidRDefault="00000000">
            <w:pPr>
              <w:keepNext/>
              <w:keepLines/>
              <w:spacing w:after="0" w:line="240" w:lineRule="auto"/>
              <w:jc w:val="right"/>
            </w:pPr>
            <w:r>
              <w:rPr>
                <w:sz w:val="18"/>
              </w:rPr>
              <w:t>48,8</w:t>
            </w:r>
          </w:p>
        </w:tc>
      </w:tr>
    </w:tbl>
    <w:p w14:paraId="1F441869" w14:textId="77777777" w:rsidR="005A6C09" w:rsidRDefault="005A6C09">
      <w:pPr>
        <w:spacing w:after="0"/>
      </w:pPr>
    </w:p>
    <w:p w14:paraId="126939D5" w14:textId="77777777" w:rsidR="005A6C09" w:rsidRDefault="00000000">
      <w:r>
        <w:t>Turistička zajednica područja Mura i gorice po sporazumu.</w:t>
      </w:r>
    </w:p>
    <w:p w14:paraId="69DC5101" w14:textId="77777777" w:rsidR="005A6C09" w:rsidRDefault="005A6C09"/>
    <w:p w14:paraId="441C8F25" w14:textId="77777777" w:rsidR="005A6C09"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7A017D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AC5AFB"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2B0F2C"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F1E979"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67C62"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2E82A2"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56622F" w14:textId="77777777" w:rsidR="005A6C09" w:rsidRDefault="00000000">
            <w:pPr>
              <w:keepNext/>
              <w:keepLines/>
              <w:spacing w:after="0" w:line="240" w:lineRule="auto"/>
              <w:jc w:val="center"/>
            </w:pPr>
            <w:r>
              <w:rPr>
                <w:b/>
                <w:sz w:val="18"/>
              </w:rPr>
              <w:t>Indeks (%)</w:t>
            </w:r>
          </w:p>
        </w:tc>
      </w:tr>
      <w:tr w:rsidR="005A6C09" w14:paraId="35182C6E" w14:textId="77777777">
        <w:tblPrEx>
          <w:tblCellMar>
            <w:top w:w="0" w:type="dxa"/>
            <w:bottom w:w="0" w:type="dxa"/>
          </w:tblCellMar>
        </w:tblPrEx>
        <w:trPr>
          <w:cantSplit/>
          <w:trHeight w:val="560"/>
        </w:trPr>
        <w:tc>
          <w:tcPr>
            <w:tcW w:w="700" w:type="dxa"/>
            <w:tcMar>
              <w:top w:w="0" w:type="dxa"/>
              <w:bottom w:w="0" w:type="dxa"/>
            </w:tcMar>
            <w:vAlign w:val="center"/>
          </w:tcPr>
          <w:p w14:paraId="2626CBEA" w14:textId="77777777" w:rsidR="005A6C09" w:rsidRDefault="00000000">
            <w:pPr>
              <w:keepNext/>
              <w:keepLines/>
              <w:spacing w:after="0" w:line="240" w:lineRule="auto"/>
            </w:pPr>
            <w:r>
              <w:rPr>
                <w:sz w:val="18"/>
              </w:rPr>
              <w:t>3672</w:t>
            </w:r>
          </w:p>
        </w:tc>
        <w:tc>
          <w:tcPr>
            <w:tcW w:w="3180" w:type="dxa"/>
            <w:tcMar>
              <w:top w:w="0" w:type="dxa"/>
              <w:bottom w:w="0" w:type="dxa"/>
            </w:tcMar>
            <w:vAlign w:val="center"/>
          </w:tcPr>
          <w:p w14:paraId="39699D69" w14:textId="77777777" w:rsidR="005A6C09"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23C890F9" w14:textId="77777777" w:rsidR="005A6C09" w:rsidRDefault="00000000">
            <w:pPr>
              <w:keepNext/>
              <w:keepLines/>
              <w:spacing w:after="0" w:line="240" w:lineRule="auto"/>
            </w:pPr>
            <w:r>
              <w:rPr>
                <w:sz w:val="18"/>
              </w:rPr>
              <w:t>3672</w:t>
            </w:r>
          </w:p>
        </w:tc>
        <w:tc>
          <w:tcPr>
            <w:tcW w:w="1860" w:type="dxa"/>
            <w:tcMar>
              <w:top w:w="0" w:type="dxa"/>
              <w:bottom w:w="0" w:type="dxa"/>
            </w:tcMar>
            <w:vAlign w:val="center"/>
          </w:tcPr>
          <w:p w14:paraId="606E7367" w14:textId="77777777" w:rsidR="005A6C09" w:rsidRDefault="00000000">
            <w:pPr>
              <w:keepNext/>
              <w:keepLines/>
              <w:spacing w:after="0" w:line="240" w:lineRule="auto"/>
              <w:jc w:val="right"/>
            </w:pPr>
            <w:r>
              <w:rPr>
                <w:sz w:val="18"/>
              </w:rPr>
              <w:t>85.753,31</w:t>
            </w:r>
          </w:p>
        </w:tc>
        <w:tc>
          <w:tcPr>
            <w:tcW w:w="1860" w:type="dxa"/>
            <w:tcMar>
              <w:top w:w="0" w:type="dxa"/>
              <w:bottom w:w="0" w:type="dxa"/>
            </w:tcMar>
            <w:vAlign w:val="center"/>
          </w:tcPr>
          <w:p w14:paraId="084E132F" w14:textId="77777777" w:rsidR="005A6C09" w:rsidRDefault="00000000">
            <w:pPr>
              <w:keepNext/>
              <w:keepLines/>
              <w:spacing w:after="0" w:line="240" w:lineRule="auto"/>
              <w:jc w:val="right"/>
            </w:pPr>
            <w:r>
              <w:rPr>
                <w:sz w:val="18"/>
              </w:rPr>
              <w:t>129.607,18</w:t>
            </w:r>
          </w:p>
        </w:tc>
        <w:tc>
          <w:tcPr>
            <w:tcW w:w="700" w:type="dxa"/>
            <w:tcMar>
              <w:top w:w="0" w:type="dxa"/>
              <w:bottom w:w="0" w:type="dxa"/>
            </w:tcMar>
            <w:vAlign w:val="center"/>
          </w:tcPr>
          <w:p w14:paraId="3642A09B" w14:textId="77777777" w:rsidR="005A6C09" w:rsidRDefault="00000000">
            <w:pPr>
              <w:keepNext/>
              <w:keepLines/>
              <w:spacing w:after="0" w:line="240" w:lineRule="auto"/>
              <w:jc w:val="right"/>
            </w:pPr>
            <w:r>
              <w:rPr>
                <w:sz w:val="18"/>
              </w:rPr>
              <w:t>151,1</w:t>
            </w:r>
          </w:p>
        </w:tc>
      </w:tr>
    </w:tbl>
    <w:p w14:paraId="7B6D54CB" w14:textId="77777777" w:rsidR="005A6C09" w:rsidRDefault="005A6C09">
      <w:pPr>
        <w:spacing w:after="0"/>
      </w:pPr>
    </w:p>
    <w:p w14:paraId="2C5AF1F9" w14:textId="77777777" w:rsidR="005A6C09" w:rsidRDefault="00000000">
      <w:r>
        <w:lastRenderedPageBreak/>
        <w:t>Prijenosi proračunskim korisnicima iz nadležnog proračuna za financiranje rashoda poslovanja u izvještajnom razdoblju ostvareni su u iznosu od 129.607,18 EUR, što predstavlja povećanje od 43.853,87 EUR, odnosno 51,1 % u odnosu na prethodno izvještajno razdoblje kada su iznosili 85.753,31 EUR.</w:t>
      </w:r>
    </w:p>
    <w:p w14:paraId="3801AB9C" w14:textId="77777777" w:rsidR="005A6C09" w:rsidRDefault="00000000">
      <w:r>
        <w:t>Povećanje je rezultat povećanih potreba za financiranjem rashoda poslovanja Dječjeg vrtića Srčeko, prvenstveno zbog većeg broja zaposlenih djelatnika te povećanja rashoda za plaće i ostalih prava zaposlenika. Općina, kao osnivač i nadležni proračun, sukladno zakonskim obvezama osigurava sredstva za financiranje rashoda zaposlenih u dječjem vrtiću, zbog čega je povećanje prijenosa povezano s povećanjem troškova rada i osiguranjem redovitog funkcioniranja ustanove.</w:t>
      </w:r>
    </w:p>
    <w:p w14:paraId="33214475" w14:textId="77777777" w:rsidR="005A6C09" w:rsidRDefault="005A6C09"/>
    <w:p w14:paraId="1E4C0C9B" w14:textId="77777777" w:rsidR="005A6C09"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771D5A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8C5073"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F74A2F"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E5B0F6"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C29692"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174AA4"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9722C3" w14:textId="77777777" w:rsidR="005A6C09" w:rsidRDefault="00000000">
            <w:pPr>
              <w:keepNext/>
              <w:keepLines/>
              <w:spacing w:after="0" w:line="240" w:lineRule="auto"/>
              <w:jc w:val="center"/>
            </w:pPr>
            <w:r>
              <w:rPr>
                <w:b/>
                <w:sz w:val="18"/>
              </w:rPr>
              <w:t>Indeks (%)</w:t>
            </w:r>
          </w:p>
        </w:tc>
      </w:tr>
      <w:tr w:rsidR="005A6C09" w14:paraId="0788421F" w14:textId="77777777">
        <w:tblPrEx>
          <w:tblCellMar>
            <w:top w:w="0" w:type="dxa"/>
            <w:bottom w:w="0" w:type="dxa"/>
          </w:tblCellMar>
        </w:tblPrEx>
        <w:trPr>
          <w:cantSplit/>
          <w:trHeight w:val="560"/>
        </w:trPr>
        <w:tc>
          <w:tcPr>
            <w:tcW w:w="700" w:type="dxa"/>
            <w:tcMar>
              <w:top w:w="0" w:type="dxa"/>
              <w:bottom w:w="0" w:type="dxa"/>
            </w:tcMar>
            <w:vAlign w:val="center"/>
          </w:tcPr>
          <w:p w14:paraId="3C2A600D" w14:textId="77777777" w:rsidR="005A6C09" w:rsidRDefault="00000000">
            <w:pPr>
              <w:keepNext/>
              <w:keepLines/>
              <w:spacing w:after="0" w:line="240" w:lineRule="auto"/>
            </w:pPr>
            <w:r>
              <w:rPr>
                <w:sz w:val="18"/>
              </w:rPr>
              <w:t>372</w:t>
            </w:r>
          </w:p>
        </w:tc>
        <w:tc>
          <w:tcPr>
            <w:tcW w:w="3180" w:type="dxa"/>
            <w:tcMar>
              <w:top w:w="0" w:type="dxa"/>
              <w:bottom w:w="0" w:type="dxa"/>
            </w:tcMar>
            <w:vAlign w:val="center"/>
          </w:tcPr>
          <w:p w14:paraId="40B3A7EB" w14:textId="77777777" w:rsidR="005A6C09"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473DAA01" w14:textId="77777777" w:rsidR="005A6C09" w:rsidRDefault="00000000">
            <w:pPr>
              <w:keepNext/>
              <w:keepLines/>
              <w:spacing w:after="0" w:line="240" w:lineRule="auto"/>
            </w:pPr>
            <w:r>
              <w:rPr>
                <w:sz w:val="18"/>
              </w:rPr>
              <w:t>372</w:t>
            </w:r>
          </w:p>
        </w:tc>
        <w:tc>
          <w:tcPr>
            <w:tcW w:w="1860" w:type="dxa"/>
            <w:tcMar>
              <w:top w:w="0" w:type="dxa"/>
              <w:bottom w:w="0" w:type="dxa"/>
            </w:tcMar>
            <w:vAlign w:val="center"/>
          </w:tcPr>
          <w:p w14:paraId="23AFB4B8" w14:textId="77777777" w:rsidR="005A6C09" w:rsidRDefault="00000000">
            <w:pPr>
              <w:keepNext/>
              <w:keepLines/>
              <w:spacing w:after="0" w:line="240" w:lineRule="auto"/>
              <w:jc w:val="right"/>
            </w:pPr>
            <w:r>
              <w:rPr>
                <w:sz w:val="18"/>
              </w:rPr>
              <w:t>21.765,00</w:t>
            </w:r>
          </w:p>
        </w:tc>
        <w:tc>
          <w:tcPr>
            <w:tcW w:w="1860" w:type="dxa"/>
            <w:tcMar>
              <w:top w:w="0" w:type="dxa"/>
              <w:bottom w:w="0" w:type="dxa"/>
            </w:tcMar>
            <w:vAlign w:val="center"/>
          </w:tcPr>
          <w:p w14:paraId="26B4ADD8" w14:textId="77777777" w:rsidR="005A6C09" w:rsidRDefault="00000000">
            <w:pPr>
              <w:keepNext/>
              <w:keepLines/>
              <w:spacing w:after="0" w:line="240" w:lineRule="auto"/>
              <w:jc w:val="right"/>
            </w:pPr>
            <w:r>
              <w:rPr>
                <w:sz w:val="18"/>
              </w:rPr>
              <w:t>46.602,50</w:t>
            </w:r>
          </w:p>
        </w:tc>
        <w:tc>
          <w:tcPr>
            <w:tcW w:w="700" w:type="dxa"/>
            <w:tcMar>
              <w:top w:w="0" w:type="dxa"/>
              <w:bottom w:w="0" w:type="dxa"/>
            </w:tcMar>
            <w:vAlign w:val="center"/>
          </w:tcPr>
          <w:p w14:paraId="7C7DF761" w14:textId="77777777" w:rsidR="005A6C09" w:rsidRDefault="00000000">
            <w:pPr>
              <w:keepNext/>
              <w:keepLines/>
              <w:spacing w:after="0" w:line="240" w:lineRule="auto"/>
              <w:jc w:val="right"/>
            </w:pPr>
            <w:r>
              <w:rPr>
                <w:sz w:val="18"/>
              </w:rPr>
              <w:t>214,1</w:t>
            </w:r>
          </w:p>
        </w:tc>
      </w:tr>
    </w:tbl>
    <w:p w14:paraId="115D58BC" w14:textId="77777777" w:rsidR="005A6C09" w:rsidRDefault="005A6C09">
      <w:pPr>
        <w:spacing w:after="0"/>
      </w:pPr>
    </w:p>
    <w:p w14:paraId="4521E3FC" w14:textId="77777777" w:rsidR="005A6C09" w:rsidRDefault="00000000">
      <w:r>
        <w:t>Ostale naknade građanima i kućanstvima iz proračuna u izvještajnom razdoblju ostvarene su u iznosu od 46.602,50 EUR, što predstavlja povećanje od 24.837,50 EUR, odnosno 114,1 % u odnosu na prethodno izvještajno razdoblje kada su iznosile 21.765,00 EUR.</w:t>
      </w:r>
    </w:p>
    <w:p w14:paraId="40342386" w14:textId="77777777" w:rsidR="005A6C09" w:rsidRDefault="00000000">
      <w:r>
        <w:t>Povećanje je najvećim dijelom rezultat ispravnog evidentiranja rashoda za sufinanciranje priključaka na optičku internetsku mrežu za mještane. U prethodnom izvještajnom razdoblju navedeni rashodi bili su evidentirani na drugom računu računskog plana, dok su u tekućem razdoblju pravilno evidentirani u okviru ove skupine rashoda. Za sufinanciranje priključaka na optičku mrežu utrošeno je 15.900,00 EUR za ukupno 106 zračnih priključaka.</w:t>
      </w:r>
    </w:p>
    <w:p w14:paraId="2B439184" w14:textId="77777777" w:rsidR="005A6C09" w:rsidRDefault="00000000">
      <w:r>
        <w:t>Iskazano povećanje stoga je najvećim dijelom posljedica pravilnije klasifikacije rashoda i provedbe mjere poboljšanja dostupnosti širokopojasnog interneta za stanovnike Općine.</w:t>
      </w:r>
    </w:p>
    <w:p w14:paraId="5A323384" w14:textId="77777777" w:rsidR="005A6C09" w:rsidRDefault="005A6C09"/>
    <w:p w14:paraId="52EF427E" w14:textId="77777777" w:rsidR="005A6C09"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6FA8BB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D6B90F"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8653C2"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48151D"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5ED8FE"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B771DA"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97691F" w14:textId="77777777" w:rsidR="005A6C09" w:rsidRDefault="00000000">
            <w:pPr>
              <w:keepNext/>
              <w:keepLines/>
              <w:spacing w:after="0" w:line="240" w:lineRule="auto"/>
              <w:jc w:val="center"/>
            </w:pPr>
            <w:r>
              <w:rPr>
                <w:b/>
                <w:sz w:val="18"/>
              </w:rPr>
              <w:t>Indeks (%)</w:t>
            </w:r>
          </w:p>
        </w:tc>
      </w:tr>
      <w:tr w:rsidR="005A6C09" w14:paraId="52FA5960" w14:textId="77777777">
        <w:tblPrEx>
          <w:tblCellMar>
            <w:top w:w="0" w:type="dxa"/>
            <w:bottom w:w="0" w:type="dxa"/>
          </w:tblCellMar>
        </w:tblPrEx>
        <w:trPr>
          <w:cantSplit/>
          <w:trHeight w:val="560"/>
        </w:trPr>
        <w:tc>
          <w:tcPr>
            <w:tcW w:w="700" w:type="dxa"/>
            <w:tcMar>
              <w:top w:w="0" w:type="dxa"/>
              <w:bottom w:w="0" w:type="dxa"/>
            </w:tcMar>
            <w:vAlign w:val="center"/>
          </w:tcPr>
          <w:p w14:paraId="373002A4" w14:textId="77777777" w:rsidR="005A6C09" w:rsidRDefault="00000000">
            <w:pPr>
              <w:keepNext/>
              <w:keepLines/>
              <w:spacing w:after="0" w:line="240" w:lineRule="auto"/>
            </w:pPr>
            <w:r>
              <w:rPr>
                <w:sz w:val="18"/>
              </w:rPr>
              <w:t>3811</w:t>
            </w:r>
          </w:p>
        </w:tc>
        <w:tc>
          <w:tcPr>
            <w:tcW w:w="3180" w:type="dxa"/>
            <w:tcMar>
              <w:top w:w="0" w:type="dxa"/>
              <w:bottom w:w="0" w:type="dxa"/>
            </w:tcMar>
            <w:vAlign w:val="center"/>
          </w:tcPr>
          <w:p w14:paraId="47E20F24" w14:textId="77777777" w:rsidR="005A6C09" w:rsidRDefault="00000000">
            <w:pPr>
              <w:keepNext/>
              <w:keepLines/>
              <w:spacing w:after="0" w:line="240" w:lineRule="auto"/>
            </w:pPr>
            <w:r>
              <w:rPr>
                <w:sz w:val="18"/>
              </w:rPr>
              <w:t>Tekuće donacije u novcu</w:t>
            </w:r>
          </w:p>
        </w:tc>
        <w:tc>
          <w:tcPr>
            <w:tcW w:w="700" w:type="dxa"/>
            <w:tcMar>
              <w:top w:w="0" w:type="dxa"/>
              <w:bottom w:w="0" w:type="dxa"/>
            </w:tcMar>
            <w:vAlign w:val="center"/>
          </w:tcPr>
          <w:p w14:paraId="466BAF72" w14:textId="77777777" w:rsidR="005A6C09" w:rsidRDefault="00000000">
            <w:pPr>
              <w:keepNext/>
              <w:keepLines/>
              <w:spacing w:after="0" w:line="240" w:lineRule="auto"/>
            </w:pPr>
            <w:r>
              <w:rPr>
                <w:sz w:val="18"/>
              </w:rPr>
              <w:t>3811</w:t>
            </w:r>
          </w:p>
        </w:tc>
        <w:tc>
          <w:tcPr>
            <w:tcW w:w="1860" w:type="dxa"/>
            <w:tcMar>
              <w:top w:w="0" w:type="dxa"/>
              <w:bottom w:w="0" w:type="dxa"/>
            </w:tcMar>
            <w:vAlign w:val="center"/>
          </w:tcPr>
          <w:p w14:paraId="2C367A50" w14:textId="77777777" w:rsidR="005A6C09" w:rsidRDefault="00000000">
            <w:pPr>
              <w:keepNext/>
              <w:keepLines/>
              <w:spacing w:after="0" w:line="240" w:lineRule="auto"/>
              <w:jc w:val="right"/>
            </w:pPr>
            <w:r>
              <w:rPr>
                <w:sz w:val="18"/>
              </w:rPr>
              <w:t>45.523,86</w:t>
            </w:r>
          </w:p>
        </w:tc>
        <w:tc>
          <w:tcPr>
            <w:tcW w:w="1860" w:type="dxa"/>
            <w:tcMar>
              <w:top w:w="0" w:type="dxa"/>
              <w:bottom w:w="0" w:type="dxa"/>
            </w:tcMar>
            <w:vAlign w:val="center"/>
          </w:tcPr>
          <w:p w14:paraId="40FF16FE" w14:textId="77777777" w:rsidR="005A6C09" w:rsidRDefault="00000000">
            <w:pPr>
              <w:keepNext/>
              <w:keepLines/>
              <w:spacing w:after="0" w:line="240" w:lineRule="auto"/>
              <w:jc w:val="right"/>
            </w:pPr>
            <w:r>
              <w:rPr>
                <w:sz w:val="18"/>
              </w:rPr>
              <w:t>89.315,39</w:t>
            </w:r>
          </w:p>
        </w:tc>
        <w:tc>
          <w:tcPr>
            <w:tcW w:w="700" w:type="dxa"/>
            <w:tcMar>
              <w:top w:w="0" w:type="dxa"/>
              <w:bottom w:w="0" w:type="dxa"/>
            </w:tcMar>
            <w:vAlign w:val="center"/>
          </w:tcPr>
          <w:p w14:paraId="1521F680" w14:textId="77777777" w:rsidR="005A6C09" w:rsidRDefault="00000000">
            <w:pPr>
              <w:keepNext/>
              <w:keepLines/>
              <w:spacing w:after="0" w:line="240" w:lineRule="auto"/>
              <w:jc w:val="right"/>
            </w:pPr>
            <w:r>
              <w:rPr>
                <w:sz w:val="18"/>
              </w:rPr>
              <w:t>196,2</w:t>
            </w:r>
          </w:p>
        </w:tc>
      </w:tr>
    </w:tbl>
    <w:p w14:paraId="69439FA6" w14:textId="77777777" w:rsidR="005A6C09" w:rsidRDefault="005A6C09">
      <w:pPr>
        <w:spacing w:after="0"/>
      </w:pPr>
    </w:p>
    <w:p w14:paraId="62509319" w14:textId="77777777" w:rsidR="005A6C09" w:rsidRDefault="00000000">
      <w:r>
        <w:t>Tekuće donacije u novcu u izvještajnom razdoblju ostvarene su u iznosu od 89.315,39 EUR, što predstavlja povećanje od 43.791,53 EUR, odnosno 96,2 % u odnosu na prethodno izvještajno razdoblje kada su iznosile 45.523,86 EUR.</w:t>
      </w:r>
    </w:p>
    <w:p w14:paraId="48280038" w14:textId="77777777" w:rsidR="005A6C09" w:rsidRDefault="00000000">
      <w:r>
        <w:t xml:space="preserve">Povećanje je najvećim dijelom rezultat odobrenih sredstava za nabavu kombi vozila za potrebe Dobrovoljnog vatrogasnog društva, sukladno Odluci Općinskog vijeća, kao i većeg </w:t>
      </w:r>
      <w:r>
        <w:lastRenderedPageBreak/>
        <w:t>broja podnesenih i odobrenih zahtjeva za isplatu sredstava po programima i projektima udruga u odnosu na prethodno izvještajno razdoblje. Navedena povećanja proizlaze iz većeg opsega financiranja aktivnosti od interesa za lokalnu zajednicu te potpore radu udruga i vatrogasne djelatnosti.</w:t>
      </w:r>
    </w:p>
    <w:p w14:paraId="419D51E4" w14:textId="77777777" w:rsidR="005A6C09" w:rsidRDefault="005A6C09"/>
    <w:p w14:paraId="4B5B60BC" w14:textId="77777777" w:rsidR="005A6C09"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352D9C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9ADC06"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F78FD8"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63E1E"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99C6E9"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70B376"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A16F09" w14:textId="77777777" w:rsidR="005A6C09" w:rsidRDefault="00000000">
            <w:pPr>
              <w:keepNext/>
              <w:keepLines/>
              <w:spacing w:after="0" w:line="240" w:lineRule="auto"/>
              <w:jc w:val="center"/>
            </w:pPr>
            <w:r>
              <w:rPr>
                <w:b/>
                <w:sz w:val="18"/>
              </w:rPr>
              <w:t>Indeks (%)</w:t>
            </w:r>
          </w:p>
        </w:tc>
      </w:tr>
      <w:tr w:rsidR="005A6C09" w14:paraId="1AC5FDB7" w14:textId="77777777">
        <w:tblPrEx>
          <w:tblCellMar>
            <w:top w:w="0" w:type="dxa"/>
            <w:bottom w:w="0" w:type="dxa"/>
          </w:tblCellMar>
        </w:tblPrEx>
        <w:trPr>
          <w:cantSplit/>
          <w:trHeight w:val="560"/>
        </w:trPr>
        <w:tc>
          <w:tcPr>
            <w:tcW w:w="700" w:type="dxa"/>
            <w:tcMar>
              <w:top w:w="0" w:type="dxa"/>
              <w:bottom w:w="0" w:type="dxa"/>
            </w:tcMar>
            <w:vAlign w:val="center"/>
          </w:tcPr>
          <w:p w14:paraId="31E5AACF" w14:textId="77777777" w:rsidR="005A6C09" w:rsidRDefault="005A6C09">
            <w:pPr>
              <w:keepNext/>
              <w:keepLines/>
              <w:spacing w:after="0" w:line="240" w:lineRule="auto"/>
            </w:pPr>
          </w:p>
        </w:tc>
        <w:tc>
          <w:tcPr>
            <w:tcW w:w="3180" w:type="dxa"/>
            <w:tcMar>
              <w:top w:w="0" w:type="dxa"/>
              <w:bottom w:w="0" w:type="dxa"/>
            </w:tcMar>
            <w:vAlign w:val="center"/>
          </w:tcPr>
          <w:p w14:paraId="52D69978" w14:textId="77777777" w:rsidR="005A6C09"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0DCA7B5F" w14:textId="77777777" w:rsidR="005A6C09" w:rsidRDefault="00000000">
            <w:pPr>
              <w:keepNext/>
              <w:keepLines/>
              <w:spacing w:after="0" w:line="240" w:lineRule="auto"/>
            </w:pPr>
            <w:r>
              <w:rPr>
                <w:sz w:val="18"/>
              </w:rPr>
              <w:t>X001</w:t>
            </w:r>
          </w:p>
        </w:tc>
        <w:tc>
          <w:tcPr>
            <w:tcW w:w="1860" w:type="dxa"/>
            <w:tcMar>
              <w:top w:w="0" w:type="dxa"/>
              <w:bottom w:w="0" w:type="dxa"/>
            </w:tcMar>
            <w:vAlign w:val="center"/>
          </w:tcPr>
          <w:p w14:paraId="2BEB98C5" w14:textId="77777777" w:rsidR="005A6C09" w:rsidRDefault="00000000">
            <w:pPr>
              <w:keepNext/>
              <w:keepLines/>
              <w:spacing w:after="0" w:line="240" w:lineRule="auto"/>
              <w:jc w:val="right"/>
            </w:pPr>
            <w:r>
              <w:rPr>
                <w:sz w:val="18"/>
              </w:rPr>
              <w:t>254.301,45</w:t>
            </w:r>
          </w:p>
        </w:tc>
        <w:tc>
          <w:tcPr>
            <w:tcW w:w="1860" w:type="dxa"/>
            <w:tcMar>
              <w:top w:w="0" w:type="dxa"/>
              <w:bottom w:w="0" w:type="dxa"/>
            </w:tcMar>
            <w:vAlign w:val="center"/>
          </w:tcPr>
          <w:p w14:paraId="08508C52" w14:textId="77777777" w:rsidR="005A6C09" w:rsidRDefault="00000000">
            <w:pPr>
              <w:keepNext/>
              <w:keepLines/>
              <w:spacing w:after="0" w:line="240" w:lineRule="auto"/>
              <w:jc w:val="right"/>
            </w:pPr>
            <w:r>
              <w:rPr>
                <w:sz w:val="18"/>
              </w:rPr>
              <w:t>167.525,25</w:t>
            </w:r>
          </w:p>
        </w:tc>
        <w:tc>
          <w:tcPr>
            <w:tcW w:w="700" w:type="dxa"/>
            <w:tcMar>
              <w:top w:w="0" w:type="dxa"/>
              <w:bottom w:w="0" w:type="dxa"/>
            </w:tcMar>
            <w:vAlign w:val="center"/>
          </w:tcPr>
          <w:p w14:paraId="1523D599" w14:textId="77777777" w:rsidR="005A6C09" w:rsidRDefault="00000000">
            <w:pPr>
              <w:keepNext/>
              <w:keepLines/>
              <w:spacing w:after="0" w:line="240" w:lineRule="auto"/>
              <w:jc w:val="right"/>
            </w:pPr>
            <w:r>
              <w:rPr>
                <w:sz w:val="18"/>
              </w:rPr>
              <w:t>65,9</w:t>
            </w:r>
          </w:p>
        </w:tc>
      </w:tr>
    </w:tbl>
    <w:p w14:paraId="38A3129F" w14:textId="77777777" w:rsidR="005A6C09" w:rsidRDefault="005A6C09">
      <w:pPr>
        <w:spacing w:after="0"/>
      </w:pPr>
    </w:p>
    <w:p w14:paraId="630E3FFE" w14:textId="77777777" w:rsidR="005A6C09" w:rsidRDefault="00000000">
      <w:r>
        <w:t>Višak prihoda poslovanja u izvještajnom razdoblju ostvaren je u iznosu od 167.525,25 EUR, što predstavlja smanjenje od 86.776,20 EUR, odnosno ostvarenje od 65,9 % u odnosu na prethodno izvještajno razdoblje kada je višak prihoda poslovanja iznosio 254.301,45 EUR.</w:t>
      </w:r>
    </w:p>
    <w:p w14:paraId="34B9D222" w14:textId="77777777" w:rsidR="005A6C09" w:rsidRDefault="00000000">
      <w:r>
        <w:t>Smanjenje viška prihoda poslovanja rezultat je povećanja rashoda poslovanja u odnosu na prethodno razdoblje, prvenstveno zbog povećanih troškova financiranja rada proračunskih korisnika, većih rashoda za zaposlene, povećanih prijenosa i donacija te drugih rashoda nastalih tijekom provedbe planiranih aktivnosti Općine. Unatoč navedenom povećanju rashoda, prihodi poslovanja bili su dostatni za pokriće rashoda te je i u tekućem razdoblju ostvaren pozitivan rezultat poslovanja.</w:t>
      </w:r>
    </w:p>
    <w:p w14:paraId="57BF3A8B" w14:textId="77777777" w:rsidR="005A6C09" w:rsidRDefault="005A6C09"/>
    <w:p w14:paraId="5E35B851" w14:textId="77777777" w:rsidR="005A6C09"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3C2637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ECE2C0"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C3CC19"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79A795"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EEA6E"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1435A2"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5A601F" w14:textId="77777777" w:rsidR="005A6C09" w:rsidRDefault="00000000">
            <w:pPr>
              <w:keepNext/>
              <w:keepLines/>
              <w:spacing w:after="0" w:line="240" w:lineRule="auto"/>
              <w:jc w:val="center"/>
            </w:pPr>
            <w:r>
              <w:rPr>
                <w:b/>
                <w:sz w:val="18"/>
              </w:rPr>
              <w:t>Indeks (%)</w:t>
            </w:r>
          </w:p>
        </w:tc>
      </w:tr>
      <w:tr w:rsidR="005A6C09" w14:paraId="1D39B2FD" w14:textId="77777777">
        <w:tblPrEx>
          <w:tblCellMar>
            <w:top w:w="0" w:type="dxa"/>
            <w:bottom w:w="0" w:type="dxa"/>
          </w:tblCellMar>
        </w:tblPrEx>
        <w:trPr>
          <w:cantSplit/>
          <w:trHeight w:val="560"/>
        </w:trPr>
        <w:tc>
          <w:tcPr>
            <w:tcW w:w="700" w:type="dxa"/>
            <w:tcMar>
              <w:top w:w="0" w:type="dxa"/>
              <w:bottom w:w="0" w:type="dxa"/>
            </w:tcMar>
            <w:vAlign w:val="center"/>
          </w:tcPr>
          <w:p w14:paraId="21333E25" w14:textId="77777777" w:rsidR="005A6C09" w:rsidRDefault="00000000">
            <w:pPr>
              <w:keepNext/>
              <w:keepLines/>
              <w:spacing w:after="0" w:line="240" w:lineRule="auto"/>
            </w:pPr>
            <w:r>
              <w:rPr>
                <w:sz w:val="18"/>
              </w:rPr>
              <w:t>421</w:t>
            </w:r>
          </w:p>
        </w:tc>
        <w:tc>
          <w:tcPr>
            <w:tcW w:w="3180" w:type="dxa"/>
            <w:tcMar>
              <w:top w:w="0" w:type="dxa"/>
              <w:bottom w:w="0" w:type="dxa"/>
            </w:tcMar>
            <w:vAlign w:val="center"/>
          </w:tcPr>
          <w:p w14:paraId="45E3D7CD" w14:textId="77777777" w:rsidR="005A6C09"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50DA9C74" w14:textId="77777777" w:rsidR="005A6C09" w:rsidRDefault="00000000">
            <w:pPr>
              <w:keepNext/>
              <w:keepLines/>
              <w:spacing w:after="0" w:line="240" w:lineRule="auto"/>
            </w:pPr>
            <w:r>
              <w:rPr>
                <w:sz w:val="18"/>
              </w:rPr>
              <w:t>421</w:t>
            </w:r>
          </w:p>
        </w:tc>
        <w:tc>
          <w:tcPr>
            <w:tcW w:w="1860" w:type="dxa"/>
            <w:tcMar>
              <w:top w:w="0" w:type="dxa"/>
              <w:bottom w:w="0" w:type="dxa"/>
            </w:tcMar>
            <w:vAlign w:val="center"/>
          </w:tcPr>
          <w:p w14:paraId="6DB0E4D5" w14:textId="77777777" w:rsidR="005A6C09" w:rsidRDefault="00000000">
            <w:pPr>
              <w:keepNext/>
              <w:keepLines/>
              <w:spacing w:after="0" w:line="240" w:lineRule="auto"/>
              <w:jc w:val="right"/>
            </w:pPr>
            <w:r>
              <w:rPr>
                <w:sz w:val="18"/>
              </w:rPr>
              <w:t>309.495,36</w:t>
            </w:r>
          </w:p>
        </w:tc>
        <w:tc>
          <w:tcPr>
            <w:tcW w:w="1860" w:type="dxa"/>
            <w:tcMar>
              <w:top w:w="0" w:type="dxa"/>
              <w:bottom w:w="0" w:type="dxa"/>
            </w:tcMar>
            <w:vAlign w:val="center"/>
          </w:tcPr>
          <w:p w14:paraId="36479F4A" w14:textId="77777777" w:rsidR="005A6C09" w:rsidRDefault="00000000">
            <w:pPr>
              <w:keepNext/>
              <w:keepLines/>
              <w:spacing w:after="0" w:line="240" w:lineRule="auto"/>
              <w:jc w:val="right"/>
            </w:pPr>
            <w:r>
              <w:rPr>
                <w:sz w:val="18"/>
              </w:rPr>
              <w:t>19.599,24</w:t>
            </w:r>
          </w:p>
        </w:tc>
        <w:tc>
          <w:tcPr>
            <w:tcW w:w="700" w:type="dxa"/>
            <w:tcMar>
              <w:top w:w="0" w:type="dxa"/>
              <w:bottom w:w="0" w:type="dxa"/>
            </w:tcMar>
            <w:vAlign w:val="center"/>
          </w:tcPr>
          <w:p w14:paraId="74B6A08A" w14:textId="77777777" w:rsidR="005A6C09" w:rsidRDefault="00000000">
            <w:pPr>
              <w:keepNext/>
              <w:keepLines/>
              <w:spacing w:after="0" w:line="240" w:lineRule="auto"/>
              <w:jc w:val="right"/>
            </w:pPr>
            <w:r>
              <w:rPr>
                <w:sz w:val="18"/>
              </w:rPr>
              <w:t>6,3</w:t>
            </w:r>
          </w:p>
        </w:tc>
      </w:tr>
    </w:tbl>
    <w:p w14:paraId="49945A44" w14:textId="77777777" w:rsidR="005A6C09" w:rsidRDefault="005A6C09">
      <w:pPr>
        <w:spacing w:after="0"/>
      </w:pPr>
    </w:p>
    <w:p w14:paraId="5B57D20C" w14:textId="77777777" w:rsidR="005A6C09" w:rsidRDefault="00000000">
      <w:r>
        <w:t>Rashodi za nabavu građevinskih objekata u izvještajnom razdoblju ostvareni su u iznosu od 19.599,24 EUR, što predstavlja smanjenje od 289.896,12 EUR, odnosno ostvarenje od 6,3 % u odnosu na prethodno izvještajno razdoblje kada su iznosili 309.495,36 EUR.</w:t>
      </w:r>
    </w:p>
    <w:p w14:paraId="5321ED0D" w14:textId="77777777" w:rsidR="005A6C09" w:rsidRDefault="00000000">
      <w:r>
        <w:t>Smanjenje je rezultat činjenice da su u prethodnom izvještajnom razdoblju realizirana značajnija ulaganja u građevinske objekte, dok u tekućem razdoblju nisu provedene investicije istog opsega. U tekućem razdoblju rashodi se odnose na pojedinačna ulaganja i pripremu projektne dokumentacije za buduće projekte, među kojima su evidentirani rashodi za radove i usluge vezane uz sportske objekte te prometnu infrastrukturu (ceste i ostale prometne objekte).</w:t>
      </w:r>
    </w:p>
    <w:p w14:paraId="578FEBA1" w14:textId="77777777" w:rsidR="005A6C09" w:rsidRDefault="005A6C09"/>
    <w:p w14:paraId="474F6C82" w14:textId="77777777" w:rsidR="005A6C09"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5DB059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029C14"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2A97D5"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0FCE27"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6466BE"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C63FD2"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8B28FE" w14:textId="77777777" w:rsidR="005A6C09" w:rsidRDefault="00000000">
            <w:pPr>
              <w:keepNext/>
              <w:keepLines/>
              <w:spacing w:after="0" w:line="240" w:lineRule="auto"/>
              <w:jc w:val="center"/>
            </w:pPr>
            <w:r>
              <w:rPr>
                <w:b/>
                <w:sz w:val="18"/>
              </w:rPr>
              <w:t>Indeks (%)</w:t>
            </w:r>
          </w:p>
        </w:tc>
      </w:tr>
      <w:tr w:rsidR="005A6C09" w14:paraId="0D8B975E" w14:textId="77777777">
        <w:tblPrEx>
          <w:tblCellMar>
            <w:top w:w="0" w:type="dxa"/>
            <w:bottom w:w="0" w:type="dxa"/>
          </w:tblCellMar>
        </w:tblPrEx>
        <w:trPr>
          <w:cantSplit/>
          <w:trHeight w:val="560"/>
        </w:trPr>
        <w:tc>
          <w:tcPr>
            <w:tcW w:w="700" w:type="dxa"/>
            <w:tcMar>
              <w:top w:w="0" w:type="dxa"/>
              <w:bottom w:w="0" w:type="dxa"/>
            </w:tcMar>
            <w:vAlign w:val="center"/>
          </w:tcPr>
          <w:p w14:paraId="516A9E7F" w14:textId="77777777" w:rsidR="005A6C09" w:rsidRDefault="00000000">
            <w:pPr>
              <w:keepNext/>
              <w:keepLines/>
              <w:spacing w:after="0" w:line="240" w:lineRule="auto"/>
            </w:pPr>
            <w:r>
              <w:rPr>
                <w:sz w:val="18"/>
              </w:rPr>
              <w:t>4227</w:t>
            </w:r>
          </w:p>
        </w:tc>
        <w:tc>
          <w:tcPr>
            <w:tcW w:w="3180" w:type="dxa"/>
            <w:tcMar>
              <w:top w:w="0" w:type="dxa"/>
              <w:bottom w:w="0" w:type="dxa"/>
            </w:tcMar>
            <w:vAlign w:val="center"/>
          </w:tcPr>
          <w:p w14:paraId="024F4C67" w14:textId="77777777" w:rsidR="005A6C09"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3732ABDD" w14:textId="77777777" w:rsidR="005A6C09" w:rsidRDefault="00000000">
            <w:pPr>
              <w:keepNext/>
              <w:keepLines/>
              <w:spacing w:after="0" w:line="240" w:lineRule="auto"/>
            </w:pPr>
            <w:r>
              <w:rPr>
                <w:sz w:val="18"/>
              </w:rPr>
              <w:t>4227</w:t>
            </w:r>
          </w:p>
        </w:tc>
        <w:tc>
          <w:tcPr>
            <w:tcW w:w="1860" w:type="dxa"/>
            <w:tcMar>
              <w:top w:w="0" w:type="dxa"/>
              <w:bottom w:w="0" w:type="dxa"/>
            </w:tcMar>
            <w:vAlign w:val="center"/>
          </w:tcPr>
          <w:p w14:paraId="2DF809B7" w14:textId="77777777" w:rsidR="005A6C09" w:rsidRDefault="00000000">
            <w:pPr>
              <w:keepNext/>
              <w:keepLines/>
              <w:spacing w:after="0" w:line="240" w:lineRule="auto"/>
              <w:jc w:val="right"/>
            </w:pPr>
            <w:r>
              <w:rPr>
                <w:sz w:val="18"/>
              </w:rPr>
              <w:t>7.874,72</w:t>
            </w:r>
          </w:p>
        </w:tc>
        <w:tc>
          <w:tcPr>
            <w:tcW w:w="1860" w:type="dxa"/>
            <w:tcMar>
              <w:top w:w="0" w:type="dxa"/>
              <w:bottom w:w="0" w:type="dxa"/>
            </w:tcMar>
            <w:vAlign w:val="center"/>
          </w:tcPr>
          <w:p w14:paraId="1F998674" w14:textId="77777777" w:rsidR="005A6C09" w:rsidRDefault="00000000">
            <w:pPr>
              <w:keepNext/>
              <w:keepLines/>
              <w:spacing w:after="0" w:line="240" w:lineRule="auto"/>
              <w:jc w:val="right"/>
            </w:pPr>
            <w:r>
              <w:rPr>
                <w:sz w:val="18"/>
              </w:rPr>
              <w:t>7.483,75</w:t>
            </w:r>
          </w:p>
        </w:tc>
        <w:tc>
          <w:tcPr>
            <w:tcW w:w="700" w:type="dxa"/>
            <w:tcMar>
              <w:top w:w="0" w:type="dxa"/>
              <w:bottom w:w="0" w:type="dxa"/>
            </w:tcMar>
            <w:vAlign w:val="center"/>
          </w:tcPr>
          <w:p w14:paraId="5FC7C2DE" w14:textId="77777777" w:rsidR="005A6C09" w:rsidRDefault="00000000">
            <w:pPr>
              <w:keepNext/>
              <w:keepLines/>
              <w:spacing w:after="0" w:line="240" w:lineRule="auto"/>
              <w:jc w:val="right"/>
            </w:pPr>
            <w:r>
              <w:rPr>
                <w:sz w:val="18"/>
              </w:rPr>
              <w:t>95,0</w:t>
            </w:r>
          </w:p>
        </w:tc>
      </w:tr>
    </w:tbl>
    <w:p w14:paraId="3F3AA706" w14:textId="77777777" w:rsidR="005A6C09" w:rsidRDefault="005A6C09">
      <w:pPr>
        <w:spacing w:after="0"/>
      </w:pPr>
    </w:p>
    <w:p w14:paraId="48265BA9" w14:textId="77777777" w:rsidR="005A6C09" w:rsidRDefault="00000000">
      <w:r>
        <w:t>7.483,75 EUR Nabavka konferencijskih stolica za dom kulture i novih vatrogasnih aparata.</w:t>
      </w:r>
    </w:p>
    <w:p w14:paraId="02972B01" w14:textId="77777777" w:rsidR="005A6C09" w:rsidRDefault="005A6C09"/>
    <w:p w14:paraId="7C597936" w14:textId="77777777" w:rsidR="005A6C09"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3C4876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8C0123"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145124"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79991C"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F3A881"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9434E7"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BE6C2A" w14:textId="77777777" w:rsidR="005A6C09" w:rsidRDefault="00000000">
            <w:pPr>
              <w:keepNext/>
              <w:keepLines/>
              <w:spacing w:after="0" w:line="240" w:lineRule="auto"/>
              <w:jc w:val="center"/>
            </w:pPr>
            <w:r>
              <w:rPr>
                <w:b/>
                <w:sz w:val="18"/>
              </w:rPr>
              <w:t>Indeks (%)</w:t>
            </w:r>
          </w:p>
        </w:tc>
      </w:tr>
      <w:tr w:rsidR="005A6C09" w14:paraId="23C03968" w14:textId="77777777">
        <w:tblPrEx>
          <w:tblCellMar>
            <w:top w:w="0" w:type="dxa"/>
            <w:bottom w:w="0" w:type="dxa"/>
          </w:tblCellMar>
        </w:tblPrEx>
        <w:trPr>
          <w:cantSplit/>
          <w:trHeight w:val="560"/>
        </w:trPr>
        <w:tc>
          <w:tcPr>
            <w:tcW w:w="700" w:type="dxa"/>
            <w:tcMar>
              <w:top w:w="0" w:type="dxa"/>
              <w:bottom w:w="0" w:type="dxa"/>
            </w:tcMar>
            <w:vAlign w:val="center"/>
          </w:tcPr>
          <w:p w14:paraId="43036853" w14:textId="77777777" w:rsidR="005A6C09" w:rsidRDefault="005A6C09">
            <w:pPr>
              <w:keepNext/>
              <w:keepLines/>
              <w:spacing w:after="0" w:line="240" w:lineRule="auto"/>
            </w:pPr>
          </w:p>
        </w:tc>
        <w:tc>
          <w:tcPr>
            <w:tcW w:w="3180" w:type="dxa"/>
            <w:tcMar>
              <w:top w:w="0" w:type="dxa"/>
              <w:bottom w:w="0" w:type="dxa"/>
            </w:tcMar>
            <w:vAlign w:val="center"/>
          </w:tcPr>
          <w:p w14:paraId="74C612AA" w14:textId="77777777" w:rsidR="005A6C09" w:rsidRDefault="00000000">
            <w:pPr>
              <w:keepNext/>
              <w:keepLines/>
              <w:spacing w:after="0" w:line="240" w:lineRule="auto"/>
            </w:pPr>
            <w:r>
              <w:rPr>
                <w:sz w:val="18"/>
              </w:rPr>
              <w:t>UKUPNI PRIHODI (šifre 6+7)</w:t>
            </w:r>
          </w:p>
        </w:tc>
        <w:tc>
          <w:tcPr>
            <w:tcW w:w="700" w:type="dxa"/>
            <w:tcMar>
              <w:top w:w="0" w:type="dxa"/>
              <w:bottom w:w="0" w:type="dxa"/>
            </w:tcMar>
            <w:vAlign w:val="center"/>
          </w:tcPr>
          <w:p w14:paraId="6DC6EDC7" w14:textId="77777777" w:rsidR="005A6C09" w:rsidRDefault="00000000">
            <w:pPr>
              <w:keepNext/>
              <w:keepLines/>
              <w:spacing w:after="0" w:line="240" w:lineRule="auto"/>
            </w:pPr>
            <w:r>
              <w:rPr>
                <w:sz w:val="18"/>
              </w:rPr>
              <w:t>X067</w:t>
            </w:r>
          </w:p>
        </w:tc>
        <w:tc>
          <w:tcPr>
            <w:tcW w:w="1860" w:type="dxa"/>
            <w:tcMar>
              <w:top w:w="0" w:type="dxa"/>
              <w:bottom w:w="0" w:type="dxa"/>
            </w:tcMar>
            <w:vAlign w:val="center"/>
          </w:tcPr>
          <w:p w14:paraId="039CEC66" w14:textId="77777777" w:rsidR="005A6C09" w:rsidRDefault="00000000">
            <w:pPr>
              <w:keepNext/>
              <w:keepLines/>
              <w:spacing w:after="0" w:line="240" w:lineRule="auto"/>
              <w:jc w:val="right"/>
            </w:pPr>
            <w:r>
              <w:rPr>
                <w:sz w:val="18"/>
              </w:rPr>
              <w:t>624.726,39</w:t>
            </w:r>
          </w:p>
        </w:tc>
        <w:tc>
          <w:tcPr>
            <w:tcW w:w="1860" w:type="dxa"/>
            <w:tcMar>
              <w:top w:w="0" w:type="dxa"/>
              <w:bottom w:w="0" w:type="dxa"/>
            </w:tcMar>
            <w:vAlign w:val="center"/>
          </w:tcPr>
          <w:p w14:paraId="3625B755" w14:textId="77777777" w:rsidR="005A6C09" w:rsidRDefault="00000000">
            <w:pPr>
              <w:keepNext/>
              <w:keepLines/>
              <w:spacing w:after="0" w:line="240" w:lineRule="auto"/>
              <w:jc w:val="right"/>
            </w:pPr>
            <w:r>
              <w:rPr>
                <w:sz w:val="18"/>
              </w:rPr>
              <w:t>687.734,28</w:t>
            </w:r>
          </w:p>
        </w:tc>
        <w:tc>
          <w:tcPr>
            <w:tcW w:w="700" w:type="dxa"/>
            <w:tcMar>
              <w:top w:w="0" w:type="dxa"/>
              <w:bottom w:w="0" w:type="dxa"/>
            </w:tcMar>
            <w:vAlign w:val="center"/>
          </w:tcPr>
          <w:p w14:paraId="5FF70D25" w14:textId="77777777" w:rsidR="005A6C09" w:rsidRDefault="00000000">
            <w:pPr>
              <w:keepNext/>
              <w:keepLines/>
              <w:spacing w:after="0" w:line="240" w:lineRule="auto"/>
              <w:jc w:val="right"/>
            </w:pPr>
            <w:r>
              <w:rPr>
                <w:sz w:val="18"/>
              </w:rPr>
              <w:t>110,1</w:t>
            </w:r>
          </w:p>
        </w:tc>
      </w:tr>
    </w:tbl>
    <w:p w14:paraId="20671304" w14:textId="77777777" w:rsidR="005A6C09" w:rsidRDefault="005A6C09">
      <w:pPr>
        <w:spacing w:after="0"/>
      </w:pPr>
    </w:p>
    <w:p w14:paraId="2D5137D4" w14:textId="77777777" w:rsidR="005A6C09" w:rsidRDefault="00000000">
      <w:r>
        <w:t>Ukupni prihodi u izvještajnom razdoblju ostvareni su u iznosu od 687.734,28 EUR, što predstavlja povećanje od 63.007,89 EUR, odnosno 10,1 % u odnosu na prethodno izvještajno razdoblje kada su iznosili 624.726,39 EUR.</w:t>
      </w:r>
    </w:p>
    <w:p w14:paraId="1FD77C69" w14:textId="77777777" w:rsidR="005A6C09" w:rsidRDefault="005A6C09"/>
    <w:p w14:paraId="28CC8B0F" w14:textId="77777777" w:rsidR="005A6C09"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79F988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FF79CB"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F03530"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356779"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CF8285"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F01EE"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89EA97" w14:textId="77777777" w:rsidR="005A6C09" w:rsidRDefault="00000000">
            <w:pPr>
              <w:keepNext/>
              <w:keepLines/>
              <w:spacing w:after="0" w:line="240" w:lineRule="auto"/>
              <w:jc w:val="center"/>
            </w:pPr>
            <w:r>
              <w:rPr>
                <w:b/>
                <w:sz w:val="18"/>
              </w:rPr>
              <w:t>Indeks (%)</w:t>
            </w:r>
          </w:p>
        </w:tc>
      </w:tr>
      <w:tr w:rsidR="005A6C09" w14:paraId="351BC6E3" w14:textId="77777777">
        <w:tblPrEx>
          <w:tblCellMar>
            <w:top w:w="0" w:type="dxa"/>
            <w:bottom w:w="0" w:type="dxa"/>
          </w:tblCellMar>
        </w:tblPrEx>
        <w:trPr>
          <w:cantSplit/>
          <w:trHeight w:val="560"/>
        </w:trPr>
        <w:tc>
          <w:tcPr>
            <w:tcW w:w="700" w:type="dxa"/>
            <w:tcMar>
              <w:top w:w="0" w:type="dxa"/>
              <w:bottom w:w="0" w:type="dxa"/>
            </w:tcMar>
            <w:vAlign w:val="center"/>
          </w:tcPr>
          <w:p w14:paraId="74FD75A4" w14:textId="77777777" w:rsidR="005A6C09" w:rsidRDefault="005A6C09">
            <w:pPr>
              <w:keepNext/>
              <w:keepLines/>
              <w:spacing w:after="0" w:line="240" w:lineRule="auto"/>
            </w:pPr>
          </w:p>
        </w:tc>
        <w:tc>
          <w:tcPr>
            <w:tcW w:w="3180" w:type="dxa"/>
            <w:tcMar>
              <w:top w:w="0" w:type="dxa"/>
              <w:bottom w:w="0" w:type="dxa"/>
            </w:tcMar>
            <w:vAlign w:val="center"/>
          </w:tcPr>
          <w:p w14:paraId="3A970D4A" w14:textId="77777777" w:rsidR="005A6C09"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4FE59B56" w14:textId="77777777" w:rsidR="005A6C09" w:rsidRDefault="00000000">
            <w:pPr>
              <w:keepNext/>
              <w:keepLines/>
              <w:spacing w:after="0" w:line="240" w:lineRule="auto"/>
            </w:pPr>
            <w:r>
              <w:rPr>
                <w:sz w:val="18"/>
              </w:rPr>
              <w:t>Y034</w:t>
            </w:r>
          </w:p>
        </w:tc>
        <w:tc>
          <w:tcPr>
            <w:tcW w:w="1860" w:type="dxa"/>
            <w:tcMar>
              <w:top w:w="0" w:type="dxa"/>
              <w:bottom w:w="0" w:type="dxa"/>
            </w:tcMar>
            <w:vAlign w:val="center"/>
          </w:tcPr>
          <w:p w14:paraId="368508B6" w14:textId="77777777" w:rsidR="005A6C09" w:rsidRDefault="00000000">
            <w:pPr>
              <w:keepNext/>
              <w:keepLines/>
              <w:spacing w:after="0" w:line="240" w:lineRule="auto"/>
              <w:jc w:val="right"/>
            </w:pPr>
            <w:r>
              <w:rPr>
                <w:sz w:val="18"/>
              </w:rPr>
              <w:t>722.948,42</w:t>
            </w:r>
          </w:p>
        </w:tc>
        <w:tc>
          <w:tcPr>
            <w:tcW w:w="1860" w:type="dxa"/>
            <w:tcMar>
              <w:top w:w="0" w:type="dxa"/>
              <w:bottom w:w="0" w:type="dxa"/>
            </w:tcMar>
            <w:vAlign w:val="center"/>
          </w:tcPr>
          <w:p w14:paraId="28ABF91F" w14:textId="77777777" w:rsidR="005A6C09" w:rsidRDefault="00000000">
            <w:pPr>
              <w:keepNext/>
              <w:keepLines/>
              <w:spacing w:after="0" w:line="240" w:lineRule="auto"/>
              <w:jc w:val="right"/>
            </w:pPr>
            <w:r>
              <w:rPr>
                <w:sz w:val="18"/>
              </w:rPr>
              <w:t>557.974,11</w:t>
            </w:r>
          </w:p>
        </w:tc>
        <w:tc>
          <w:tcPr>
            <w:tcW w:w="700" w:type="dxa"/>
            <w:tcMar>
              <w:top w:w="0" w:type="dxa"/>
              <w:bottom w:w="0" w:type="dxa"/>
            </w:tcMar>
            <w:vAlign w:val="center"/>
          </w:tcPr>
          <w:p w14:paraId="6880ED48" w14:textId="77777777" w:rsidR="005A6C09" w:rsidRDefault="00000000">
            <w:pPr>
              <w:keepNext/>
              <w:keepLines/>
              <w:spacing w:after="0" w:line="240" w:lineRule="auto"/>
              <w:jc w:val="right"/>
            </w:pPr>
            <w:r>
              <w:rPr>
                <w:sz w:val="18"/>
              </w:rPr>
              <w:t>77,2</w:t>
            </w:r>
          </w:p>
        </w:tc>
      </w:tr>
    </w:tbl>
    <w:p w14:paraId="05A9C33E" w14:textId="77777777" w:rsidR="005A6C09" w:rsidRDefault="005A6C09">
      <w:pPr>
        <w:spacing w:after="0"/>
      </w:pPr>
    </w:p>
    <w:p w14:paraId="5CB3CDA8" w14:textId="77777777" w:rsidR="005A6C09" w:rsidRDefault="00000000">
      <w:r>
        <w:t>Ukupni rashodi ostvareni su u iznosu od 557.974,11 EUR, što predstavlja smanjenje od 164.974,31 EUR, odnosno ostvarenje od 77,2 % u odnosu na prethodno izvještajno razdoblje kada su iznosili 722.948,42 EUR. Smanjenje rashoda najvećim dijelom rezultat je manjeg opsega realiziranih investicija u odnosu na prethodno razdoblje, kada su ostvarena značajnija ulaganja u građevinske objekte i drugu nefinancijsku imovinu.</w:t>
      </w:r>
    </w:p>
    <w:p w14:paraId="78E57F58" w14:textId="77777777" w:rsidR="005A6C09" w:rsidRDefault="005A6C09"/>
    <w:p w14:paraId="17534097" w14:textId="77777777" w:rsidR="005A6C09"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6D977D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E1B0CD"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48A168"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64F337"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3560D"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991F18"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4AA48C" w14:textId="77777777" w:rsidR="005A6C09" w:rsidRDefault="00000000">
            <w:pPr>
              <w:keepNext/>
              <w:keepLines/>
              <w:spacing w:after="0" w:line="240" w:lineRule="auto"/>
              <w:jc w:val="center"/>
            </w:pPr>
            <w:r>
              <w:rPr>
                <w:b/>
                <w:sz w:val="18"/>
              </w:rPr>
              <w:t>Indeks (%)</w:t>
            </w:r>
          </w:p>
        </w:tc>
      </w:tr>
      <w:tr w:rsidR="005A6C09" w14:paraId="1E09DA64" w14:textId="77777777">
        <w:tblPrEx>
          <w:tblCellMar>
            <w:top w:w="0" w:type="dxa"/>
            <w:bottom w:w="0" w:type="dxa"/>
          </w:tblCellMar>
        </w:tblPrEx>
        <w:trPr>
          <w:cantSplit/>
          <w:trHeight w:val="560"/>
        </w:trPr>
        <w:tc>
          <w:tcPr>
            <w:tcW w:w="700" w:type="dxa"/>
            <w:tcMar>
              <w:top w:w="0" w:type="dxa"/>
              <w:bottom w:w="0" w:type="dxa"/>
            </w:tcMar>
            <w:vAlign w:val="center"/>
          </w:tcPr>
          <w:p w14:paraId="67C8C80B" w14:textId="77777777" w:rsidR="005A6C09" w:rsidRDefault="00000000">
            <w:pPr>
              <w:keepNext/>
              <w:keepLines/>
              <w:spacing w:after="0" w:line="240" w:lineRule="auto"/>
            </w:pPr>
            <w:r>
              <w:rPr>
                <w:sz w:val="18"/>
              </w:rPr>
              <w:t>96, 97</w:t>
            </w:r>
          </w:p>
        </w:tc>
        <w:tc>
          <w:tcPr>
            <w:tcW w:w="3180" w:type="dxa"/>
            <w:tcMar>
              <w:top w:w="0" w:type="dxa"/>
              <w:bottom w:w="0" w:type="dxa"/>
            </w:tcMar>
            <w:vAlign w:val="center"/>
          </w:tcPr>
          <w:p w14:paraId="1CAF4150" w14:textId="77777777" w:rsidR="005A6C09"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0A696272" w14:textId="77777777" w:rsidR="005A6C09" w:rsidRDefault="00000000">
            <w:pPr>
              <w:keepNext/>
              <w:keepLines/>
              <w:spacing w:after="0" w:line="240" w:lineRule="auto"/>
            </w:pPr>
            <w:r>
              <w:rPr>
                <w:sz w:val="18"/>
              </w:rPr>
              <w:t>96,97</w:t>
            </w:r>
          </w:p>
        </w:tc>
        <w:tc>
          <w:tcPr>
            <w:tcW w:w="1860" w:type="dxa"/>
            <w:tcMar>
              <w:top w:w="0" w:type="dxa"/>
              <w:bottom w:w="0" w:type="dxa"/>
            </w:tcMar>
            <w:vAlign w:val="center"/>
          </w:tcPr>
          <w:p w14:paraId="07F274BA" w14:textId="77777777" w:rsidR="005A6C09" w:rsidRDefault="00000000">
            <w:pPr>
              <w:keepNext/>
              <w:keepLines/>
              <w:spacing w:after="0" w:line="240" w:lineRule="auto"/>
              <w:jc w:val="right"/>
            </w:pPr>
            <w:r>
              <w:rPr>
                <w:sz w:val="18"/>
              </w:rPr>
              <w:t>29.459,13</w:t>
            </w:r>
          </w:p>
        </w:tc>
        <w:tc>
          <w:tcPr>
            <w:tcW w:w="1860" w:type="dxa"/>
            <w:tcMar>
              <w:top w:w="0" w:type="dxa"/>
              <w:bottom w:w="0" w:type="dxa"/>
            </w:tcMar>
            <w:vAlign w:val="center"/>
          </w:tcPr>
          <w:p w14:paraId="7B74B7B8" w14:textId="77777777" w:rsidR="005A6C09" w:rsidRDefault="00000000">
            <w:pPr>
              <w:keepNext/>
              <w:keepLines/>
              <w:spacing w:after="0" w:line="240" w:lineRule="auto"/>
              <w:jc w:val="right"/>
            </w:pPr>
            <w:r>
              <w:rPr>
                <w:sz w:val="18"/>
              </w:rPr>
              <w:t>38.255,58</w:t>
            </w:r>
          </w:p>
        </w:tc>
        <w:tc>
          <w:tcPr>
            <w:tcW w:w="700" w:type="dxa"/>
            <w:tcMar>
              <w:top w:w="0" w:type="dxa"/>
              <w:bottom w:w="0" w:type="dxa"/>
            </w:tcMar>
            <w:vAlign w:val="center"/>
          </w:tcPr>
          <w:p w14:paraId="47B8F7DE" w14:textId="77777777" w:rsidR="005A6C09" w:rsidRDefault="00000000">
            <w:pPr>
              <w:keepNext/>
              <w:keepLines/>
              <w:spacing w:after="0" w:line="240" w:lineRule="auto"/>
              <w:jc w:val="right"/>
            </w:pPr>
            <w:r>
              <w:rPr>
                <w:sz w:val="18"/>
              </w:rPr>
              <w:t>129,9</w:t>
            </w:r>
          </w:p>
        </w:tc>
      </w:tr>
    </w:tbl>
    <w:p w14:paraId="7B0BE087" w14:textId="77777777" w:rsidR="005A6C09" w:rsidRDefault="005A6C09">
      <w:pPr>
        <w:spacing w:after="0"/>
      </w:pPr>
    </w:p>
    <w:p w14:paraId="11B18FB6" w14:textId="77777777" w:rsidR="005A6C09" w:rsidRDefault="00000000">
      <w:r>
        <w:t xml:space="preserve">Uslijed povećanja ukupnih prihoda i smanjenja ukupnih rashoda u odnosu na prethodno razdoblje, u izvještajnom razdoblju ostvaren je ukupan višak prihoda u iznosu od 129.760,17 </w:t>
      </w:r>
      <w:r>
        <w:lastRenderedPageBreak/>
        <w:t>EUR. Ostvareni rezultat poslovanja posljedica je odgovornog planiranja i izvršavanja proračunskih aktivnosti te će se višak prihoda koristiti za financiranje budućih aktivnosti i projekata u skladu s odlukama nadležnih tijela.</w:t>
      </w:r>
    </w:p>
    <w:p w14:paraId="63E2E58C" w14:textId="77777777" w:rsidR="005A6C09" w:rsidRDefault="005A6C09"/>
    <w:p w14:paraId="128D210D" w14:textId="77777777" w:rsidR="005A6C09"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7169BF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39A67F"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B52781"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B98A1C"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F40C98"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93F471"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1568FF" w14:textId="77777777" w:rsidR="005A6C09" w:rsidRDefault="00000000">
            <w:pPr>
              <w:keepNext/>
              <w:keepLines/>
              <w:spacing w:after="0" w:line="240" w:lineRule="auto"/>
              <w:jc w:val="center"/>
            </w:pPr>
            <w:r>
              <w:rPr>
                <w:b/>
                <w:sz w:val="18"/>
              </w:rPr>
              <w:t>Indeks (%)</w:t>
            </w:r>
          </w:p>
        </w:tc>
      </w:tr>
      <w:tr w:rsidR="005A6C09" w14:paraId="09CC2443" w14:textId="77777777">
        <w:tblPrEx>
          <w:tblCellMar>
            <w:top w:w="0" w:type="dxa"/>
            <w:bottom w:w="0" w:type="dxa"/>
          </w:tblCellMar>
        </w:tblPrEx>
        <w:trPr>
          <w:cantSplit/>
          <w:trHeight w:val="560"/>
        </w:trPr>
        <w:tc>
          <w:tcPr>
            <w:tcW w:w="700" w:type="dxa"/>
            <w:tcMar>
              <w:top w:w="0" w:type="dxa"/>
              <w:bottom w:w="0" w:type="dxa"/>
            </w:tcMar>
            <w:vAlign w:val="center"/>
          </w:tcPr>
          <w:p w14:paraId="00D9DD94" w14:textId="77777777" w:rsidR="005A6C09" w:rsidRDefault="005A6C09">
            <w:pPr>
              <w:keepNext/>
              <w:keepLines/>
              <w:spacing w:after="0" w:line="240" w:lineRule="auto"/>
            </w:pPr>
          </w:p>
        </w:tc>
        <w:tc>
          <w:tcPr>
            <w:tcW w:w="3180" w:type="dxa"/>
            <w:tcMar>
              <w:top w:w="0" w:type="dxa"/>
              <w:bottom w:w="0" w:type="dxa"/>
            </w:tcMar>
            <w:vAlign w:val="center"/>
          </w:tcPr>
          <w:p w14:paraId="41163196" w14:textId="77777777" w:rsidR="005A6C09"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0B791187" w14:textId="77777777" w:rsidR="005A6C09" w:rsidRDefault="00000000">
            <w:pPr>
              <w:keepNext/>
              <w:keepLines/>
              <w:spacing w:after="0" w:line="240" w:lineRule="auto"/>
            </w:pPr>
            <w:r>
              <w:rPr>
                <w:sz w:val="18"/>
              </w:rPr>
              <w:t>Y006</w:t>
            </w:r>
          </w:p>
        </w:tc>
        <w:tc>
          <w:tcPr>
            <w:tcW w:w="1860" w:type="dxa"/>
            <w:tcMar>
              <w:top w:w="0" w:type="dxa"/>
              <w:bottom w:w="0" w:type="dxa"/>
            </w:tcMar>
            <w:vAlign w:val="center"/>
          </w:tcPr>
          <w:p w14:paraId="3EA2124E" w14:textId="77777777" w:rsidR="005A6C09" w:rsidRDefault="00000000">
            <w:pPr>
              <w:keepNext/>
              <w:keepLines/>
              <w:spacing w:after="0" w:line="240" w:lineRule="auto"/>
              <w:jc w:val="right"/>
            </w:pPr>
            <w:r>
              <w:rPr>
                <w:sz w:val="18"/>
              </w:rPr>
              <w:t>84.476,95</w:t>
            </w:r>
          </w:p>
        </w:tc>
        <w:tc>
          <w:tcPr>
            <w:tcW w:w="1860" w:type="dxa"/>
            <w:tcMar>
              <w:top w:w="0" w:type="dxa"/>
              <w:bottom w:w="0" w:type="dxa"/>
            </w:tcMar>
            <w:vAlign w:val="center"/>
          </w:tcPr>
          <w:p w14:paraId="6AA4FEE5" w14:textId="77777777" w:rsidR="005A6C09" w:rsidRDefault="00000000">
            <w:pPr>
              <w:keepNext/>
              <w:keepLines/>
              <w:spacing w:after="0" w:line="240" w:lineRule="auto"/>
              <w:jc w:val="right"/>
            </w:pPr>
            <w:r>
              <w:rPr>
                <w:sz w:val="18"/>
              </w:rPr>
              <w:t>77.055,90</w:t>
            </w:r>
          </w:p>
        </w:tc>
        <w:tc>
          <w:tcPr>
            <w:tcW w:w="700" w:type="dxa"/>
            <w:tcMar>
              <w:top w:w="0" w:type="dxa"/>
              <w:bottom w:w="0" w:type="dxa"/>
            </w:tcMar>
            <w:vAlign w:val="center"/>
          </w:tcPr>
          <w:p w14:paraId="56D378BF" w14:textId="77777777" w:rsidR="005A6C09" w:rsidRDefault="00000000">
            <w:pPr>
              <w:keepNext/>
              <w:keepLines/>
              <w:spacing w:after="0" w:line="240" w:lineRule="auto"/>
              <w:jc w:val="right"/>
            </w:pPr>
            <w:r>
              <w:rPr>
                <w:sz w:val="18"/>
              </w:rPr>
              <w:t>91,2</w:t>
            </w:r>
          </w:p>
        </w:tc>
      </w:tr>
    </w:tbl>
    <w:p w14:paraId="7797CEE4" w14:textId="77777777" w:rsidR="005A6C09" w:rsidRDefault="005A6C09">
      <w:pPr>
        <w:spacing w:after="0"/>
      </w:pPr>
    </w:p>
    <w:p w14:paraId="15E8F5A5" w14:textId="77777777" w:rsidR="005A6C09" w:rsidRDefault="00000000">
      <w:r>
        <w:t>U izvještajnom razdoblju ostvaren je višak prihoda i primitaka tekuće godine u iznosu od 129.760,17 €, međutim nakon uključivanja prenesenog manjka prihoda i primitaka iz prethodnih razdoblja u iznosu od 206.816,07 €, utvrđen je manjak prihoda i primitaka za pokriće u sljedećem razdoblju u iznosu od 77.055,90 €. U odnosu na prethodnu godinu, kada je iskazan manjak u iznosu od 84.476,95 €, manjak je smanjen za 7.421,05 €, odnosno za 8,8 %. Smanjenje manjka rezultat je ostvarenog viška prihoda tekućeg razdoblja i racionalnijeg izvršavanja rashoda i izdataka.</w:t>
      </w:r>
    </w:p>
    <w:p w14:paraId="25247550" w14:textId="77777777" w:rsidR="005A6C09" w:rsidRDefault="005A6C09"/>
    <w:p w14:paraId="02B544A6" w14:textId="77777777" w:rsidR="005A6C09"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1A3730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174BD3"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C4CE59"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2CFE15"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1C25A0"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DC353A"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F2E48F" w14:textId="77777777" w:rsidR="005A6C09" w:rsidRDefault="00000000">
            <w:pPr>
              <w:keepNext/>
              <w:keepLines/>
              <w:spacing w:after="0" w:line="240" w:lineRule="auto"/>
              <w:jc w:val="center"/>
            </w:pPr>
            <w:r>
              <w:rPr>
                <w:b/>
                <w:sz w:val="18"/>
              </w:rPr>
              <w:t>Indeks (%)</w:t>
            </w:r>
          </w:p>
        </w:tc>
      </w:tr>
      <w:tr w:rsidR="005A6C09" w14:paraId="5542ADC0" w14:textId="77777777">
        <w:tblPrEx>
          <w:tblCellMar>
            <w:top w:w="0" w:type="dxa"/>
            <w:bottom w:w="0" w:type="dxa"/>
          </w:tblCellMar>
        </w:tblPrEx>
        <w:trPr>
          <w:cantSplit/>
          <w:trHeight w:val="560"/>
        </w:trPr>
        <w:tc>
          <w:tcPr>
            <w:tcW w:w="700" w:type="dxa"/>
            <w:tcMar>
              <w:top w:w="0" w:type="dxa"/>
              <w:bottom w:w="0" w:type="dxa"/>
            </w:tcMar>
            <w:vAlign w:val="center"/>
          </w:tcPr>
          <w:p w14:paraId="5256C1EB" w14:textId="77777777" w:rsidR="005A6C09" w:rsidRDefault="00000000">
            <w:pPr>
              <w:keepNext/>
              <w:keepLines/>
              <w:spacing w:after="0" w:line="240" w:lineRule="auto"/>
            </w:pPr>
            <w:r>
              <w:rPr>
                <w:sz w:val="18"/>
              </w:rPr>
              <w:t>11</w:t>
            </w:r>
          </w:p>
        </w:tc>
        <w:tc>
          <w:tcPr>
            <w:tcW w:w="3180" w:type="dxa"/>
            <w:tcMar>
              <w:top w:w="0" w:type="dxa"/>
              <w:bottom w:w="0" w:type="dxa"/>
            </w:tcMar>
            <w:vAlign w:val="center"/>
          </w:tcPr>
          <w:p w14:paraId="655A31BB" w14:textId="77777777" w:rsidR="005A6C09"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5032B936" w14:textId="77777777" w:rsidR="005A6C09" w:rsidRDefault="00000000">
            <w:pPr>
              <w:keepNext/>
              <w:keepLines/>
              <w:spacing w:after="0" w:line="240" w:lineRule="auto"/>
            </w:pPr>
            <w:r>
              <w:rPr>
                <w:sz w:val="18"/>
              </w:rPr>
              <w:t>11K</w:t>
            </w:r>
          </w:p>
        </w:tc>
        <w:tc>
          <w:tcPr>
            <w:tcW w:w="1860" w:type="dxa"/>
            <w:tcMar>
              <w:top w:w="0" w:type="dxa"/>
              <w:bottom w:w="0" w:type="dxa"/>
            </w:tcMar>
            <w:vAlign w:val="center"/>
          </w:tcPr>
          <w:p w14:paraId="44F82422" w14:textId="77777777" w:rsidR="005A6C09" w:rsidRDefault="00000000">
            <w:pPr>
              <w:keepNext/>
              <w:keepLines/>
              <w:spacing w:after="0" w:line="240" w:lineRule="auto"/>
              <w:jc w:val="right"/>
            </w:pPr>
            <w:r>
              <w:rPr>
                <w:sz w:val="18"/>
              </w:rPr>
              <w:t>80.330,73</w:t>
            </w:r>
          </w:p>
        </w:tc>
        <w:tc>
          <w:tcPr>
            <w:tcW w:w="1860" w:type="dxa"/>
            <w:tcMar>
              <w:top w:w="0" w:type="dxa"/>
              <w:bottom w:w="0" w:type="dxa"/>
            </w:tcMar>
            <w:vAlign w:val="center"/>
          </w:tcPr>
          <w:p w14:paraId="7E8F0C2E" w14:textId="77777777" w:rsidR="005A6C09" w:rsidRDefault="00000000">
            <w:pPr>
              <w:keepNext/>
              <w:keepLines/>
              <w:spacing w:after="0" w:line="240" w:lineRule="auto"/>
              <w:jc w:val="right"/>
            </w:pPr>
            <w:r>
              <w:rPr>
                <w:sz w:val="18"/>
              </w:rPr>
              <w:t>69,84</w:t>
            </w:r>
          </w:p>
        </w:tc>
        <w:tc>
          <w:tcPr>
            <w:tcW w:w="700" w:type="dxa"/>
            <w:tcMar>
              <w:top w:w="0" w:type="dxa"/>
              <w:bottom w:w="0" w:type="dxa"/>
            </w:tcMar>
            <w:vAlign w:val="center"/>
          </w:tcPr>
          <w:p w14:paraId="50D34D20" w14:textId="77777777" w:rsidR="005A6C09" w:rsidRDefault="00000000">
            <w:pPr>
              <w:keepNext/>
              <w:keepLines/>
              <w:spacing w:after="0" w:line="240" w:lineRule="auto"/>
              <w:jc w:val="right"/>
            </w:pPr>
            <w:r>
              <w:rPr>
                <w:sz w:val="18"/>
              </w:rPr>
              <w:t>0,1</w:t>
            </w:r>
          </w:p>
        </w:tc>
      </w:tr>
    </w:tbl>
    <w:p w14:paraId="7A107284" w14:textId="77777777" w:rsidR="005A6C09" w:rsidRDefault="005A6C09">
      <w:pPr>
        <w:spacing w:after="0"/>
      </w:pPr>
    </w:p>
    <w:p w14:paraId="64063500" w14:textId="77777777" w:rsidR="005A6C09" w:rsidRDefault="00000000">
      <w:r>
        <w:t>Novac u blagajni na dan 30.06.2026.</w:t>
      </w:r>
    </w:p>
    <w:p w14:paraId="5D2C355D" w14:textId="77777777" w:rsidR="005A6C09" w:rsidRDefault="005A6C09"/>
    <w:p w14:paraId="04080E00" w14:textId="77777777" w:rsidR="005A6C09"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4BA4B1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0DC7FA"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BDA194"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EC89DA"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7136ED"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550DEC"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03D8E5" w14:textId="77777777" w:rsidR="005A6C09" w:rsidRDefault="00000000">
            <w:pPr>
              <w:keepNext/>
              <w:keepLines/>
              <w:spacing w:after="0" w:line="240" w:lineRule="auto"/>
              <w:jc w:val="center"/>
            </w:pPr>
            <w:r>
              <w:rPr>
                <w:b/>
                <w:sz w:val="18"/>
              </w:rPr>
              <w:t>Indeks (%)</w:t>
            </w:r>
          </w:p>
        </w:tc>
      </w:tr>
      <w:tr w:rsidR="005A6C09" w14:paraId="01F350B6" w14:textId="77777777">
        <w:tblPrEx>
          <w:tblCellMar>
            <w:top w:w="0" w:type="dxa"/>
            <w:bottom w:w="0" w:type="dxa"/>
          </w:tblCellMar>
        </w:tblPrEx>
        <w:trPr>
          <w:cantSplit/>
          <w:trHeight w:val="560"/>
        </w:trPr>
        <w:tc>
          <w:tcPr>
            <w:tcW w:w="700" w:type="dxa"/>
            <w:tcMar>
              <w:top w:w="0" w:type="dxa"/>
              <w:bottom w:w="0" w:type="dxa"/>
            </w:tcMar>
            <w:vAlign w:val="center"/>
          </w:tcPr>
          <w:p w14:paraId="084B41D9" w14:textId="77777777" w:rsidR="005A6C09" w:rsidRDefault="00000000">
            <w:pPr>
              <w:keepNext/>
              <w:keepLines/>
              <w:spacing w:after="0" w:line="240" w:lineRule="auto"/>
            </w:pPr>
            <w:r>
              <w:rPr>
                <w:sz w:val="18"/>
              </w:rPr>
              <w:t>63321</w:t>
            </w:r>
          </w:p>
        </w:tc>
        <w:tc>
          <w:tcPr>
            <w:tcW w:w="3180" w:type="dxa"/>
            <w:tcMar>
              <w:top w:w="0" w:type="dxa"/>
              <w:bottom w:w="0" w:type="dxa"/>
            </w:tcMar>
            <w:vAlign w:val="center"/>
          </w:tcPr>
          <w:p w14:paraId="4A29C666" w14:textId="77777777" w:rsidR="005A6C09" w:rsidRDefault="00000000">
            <w:pPr>
              <w:keepNext/>
              <w:keepLines/>
              <w:spacing w:after="0" w:line="240" w:lineRule="auto"/>
            </w:pPr>
            <w:r>
              <w:rPr>
                <w:sz w:val="18"/>
              </w:rPr>
              <w:t>Kapitalne pomoći iz državnog proračuna</w:t>
            </w:r>
          </w:p>
        </w:tc>
        <w:tc>
          <w:tcPr>
            <w:tcW w:w="700" w:type="dxa"/>
            <w:tcMar>
              <w:top w:w="0" w:type="dxa"/>
              <w:bottom w:w="0" w:type="dxa"/>
            </w:tcMar>
            <w:vAlign w:val="center"/>
          </w:tcPr>
          <w:p w14:paraId="3FAD031B" w14:textId="77777777" w:rsidR="005A6C09" w:rsidRDefault="00000000">
            <w:pPr>
              <w:keepNext/>
              <w:keepLines/>
              <w:spacing w:after="0" w:line="240" w:lineRule="auto"/>
            </w:pPr>
            <w:r>
              <w:rPr>
                <w:sz w:val="18"/>
              </w:rPr>
              <w:t>63321</w:t>
            </w:r>
          </w:p>
        </w:tc>
        <w:tc>
          <w:tcPr>
            <w:tcW w:w="1860" w:type="dxa"/>
            <w:tcMar>
              <w:top w:w="0" w:type="dxa"/>
              <w:bottom w:w="0" w:type="dxa"/>
            </w:tcMar>
            <w:vAlign w:val="center"/>
          </w:tcPr>
          <w:p w14:paraId="6B5D0AA8" w14:textId="77777777" w:rsidR="005A6C09" w:rsidRDefault="00000000">
            <w:pPr>
              <w:keepNext/>
              <w:keepLines/>
              <w:spacing w:after="0" w:line="240" w:lineRule="auto"/>
              <w:jc w:val="right"/>
            </w:pPr>
            <w:r>
              <w:rPr>
                <w:sz w:val="18"/>
              </w:rPr>
              <w:t>0,00</w:t>
            </w:r>
          </w:p>
        </w:tc>
        <w:tc>
          <w:tcPr>
            <w:tcW w:w="1860" w:type="dxa"/>
            <w:tcMar>
              <w:top w:w="0" w:type="dxa"/>
              <w:bottom w:w="0" w:type="dxa"/>
            </w:tcMar>
            <w:vAlign w:val="center"/>
          </w:tcPr>
          <w:p w14:paraId="6B6EC5CA" w14:textId="77777777" w:rsidR="005A6C09" w:rsidRDefault="00000000">
            <w:pPr>
              <w:keepNext/>
              <w:keepLines/>
              <w:spacing w:after="0" w:line="240" w:lineRule="auto"/>
              <w:jc w:val="right"/>
            </w:pPr>
            <w:r>
              <w:rPr>
                <w:sz w:val="18"/>
              </w:rPr>
              <w:t>42.606,25</w:t>
            </w:r>
          </w:p>
        </w:tc>
        <w:tc>
          <w:tcPr>
            <w:tcW w:w="700" w:type="dxa"/>
            <w:tcMar>
              <w:top w:w="0" w:type="dxa"/>
              <w:bottom w:w="0" w:type="dxa"/>
            </w:tcMar>
            <w:vAlign w:val="center"/>
          </w:tcPr>
          <w:p w14:paraId="13A6D2D7" w14:textId="77777777" w:rsidR="005A6C09" w:rsidRDefault="00000000">
            <w:pPr>
              <w:keepNext/>
              <w:keepLines/>
              <w:spacing w:after="0" w:line="240" w:lineRule="auto"/>
              <w:jc w:val="right"/>
            </w:pPr>
            <w:r>
              <w:rPr>
                <w:sz w:val="18"/>
              </w:rPr>
              <w:t>-</w:t>
            </w:r>
          </w:p>
        </w:tc>
      </w:tr>
    </w:tbl>
    <w:p w14:paraId="6E6BF7FB" w14:textId="77777777" w:rsidR="005A6C09" w:rsidRDefault="005A6C09">
      <w:pPr>
        <w:spacing w:after="0"/>
      </w:pPr>
    </w:p>
    <w:p w14:paraId="3F155C49" w14:textId="77777777" w:rsidR="005A6C09" w:rsidRDefault="00000000">
      <w:r>
        <w:t xml:space="preserve">Navedeno se odnosi na isplatu projekta Ministarstva demografije i useljeništva za projekt iz 2025. godine - Igralište </w:t>
      </w:r>
      <w:proofErr w:type="spellStart"/>
      <w:r>
        <w:t>Remis</w:t>
      </w:r>
      <w:proofErr w:type="spellEnd"/>
    </w:p>
    <w:p w14:paraId="31822FEA" w14:textId="77777777" w:rsidR="005A6C09" w:rsidRDefault="005A6C09"/>
    <w:p w14:paraId="6A750437" w14:textId="77777777" w:rsidR="005A6C09"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499361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2F9483"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6139F6"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F95A13"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015E39"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8889F3"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20EF91" w14:textId="77777777" w:rsidR="005A6C09" w:rsidRDefault="00000000">
            <w:pPr>
              <w:keepNext/>
              <w:keepLines/>
              <w:spacing w:after="0" w:line="240" w:lineRule="auto"/>
              <w:jc w:val="center"/>
            </w:pPr>
            <w:r>
              <w:rPr>
                <w:b/>
                <w:sz w:val="18"/>
              </w:rPr>
              <w:t>Indeks (%)</w:t>
            </w:r>
          </w:p>
        </w:tc>
      </w:tr>
      <w:tr w:rsidR="005A6C09" w14:paraId="01153DBB" w14:textId="77777777">
        <w:tblPrEx>
          <w:tblCellMar>
            <w:top w:w="0" w:type="dxa"/>
            <w:bottom w:w="0" w:type="dxa"/>
          </w:tblCellMar>
        </w:tblPrEx>
        <w:trPr>
          <w:cantSplit/>
          <w:trHeight w:val="560"/>
        </w:trPr>
        <w:tc>
          <w:tcPr>
            <w:tcW w:w="700" w:type="dxa"/>
            <w:tcMar>
              <w:top w:w="0" w:type="dxa"/>
              <w:bottom w:w="0" w:type="dxa"/>
            </w:tcMar>
            <w:vAlign w:val="center"/>
          </w:tcPr>
          <w:p w14:paraId="3616E5B7" w14:textId="77777777" w:rsidR="005A6C09" w:rsidRDefault="00000000">
            <w:pPr>
              <w:keepNext/>
              <w:keepLines/>
              <w:spacing w:after="0" w:line="240" w:lineRule="auto"/>
            </w:pPr>
            <w:r>
              <w:rPr>
                <w:sz w:val="18"/>
              </w:rPr>
              <w:t>63426</w:t>
            </w:r>
          </w:p>
        </w:tc>
        <w:tc>
          <w:tcPr>
            <w:tcW w:w="3180" w:type="dxa"/>
            <w:tcMar>
              <w:top w:w="0" w:type="dxa"/>
              <w:bottom w:w="0" w:type="dxa"/>
            </w:tcMar>
            <w:vAlign w:val="center"/>
          </w:tcPr>
          <w:p w14:paraId="27777C57" w14:textId="77777777" w:rsidR="005A6C09" w:rsidRDefault="00000000">
            <w:pPr>
              <w:keepNext/>
              <w:keepLines/>
              <w:spacing w:after="0" w:line="240" w:lineRule="auto"/>
            </w:pPr>
            <w:r>
              <w:rPr>
                <w:sz w:val="18"/>
              </w:rPr>
              <w:t>Kapitalne pomoći od izvanproračunskih korisnika JLP(R)S</w:t>
            </w:r>
          </w:p>
        </w:tc>
        <w:tc>
          <w:tcPr>
            <w:tcW w:w="700" w:type="dxa"/>
            <w:tcMar>
              <w:top w:w="0" w:type="dxa"/>
              <w:bottom w:w="0" w:type="dxa"/>
            </w:tcMar>
            <w:vAlign w:val="center"/>
          </w:tcPr>
          <w:p w14:paraId="2DE9EDCC" w14:textId="77777777" w:rsidR="005A6C09" w:rsidRDefault="00000000">
            <w:pPr>
              <w:keepNext/>
              <w:keepLines/>
              <w:spacing w:after="0" w:line="240" w:lineRule="auto"/>
            </w:pPr>
            <w:r>
              <w:rPr>
                <w:sz w:val="18"/>
              </w:rPr>
              <w:t>63426</w:t>
            </w:r>
          </w:p>
        </w:tc>
        <w:tc>
          <w:tcPr>
            <w:tcW w:w="1860" w:type="dxa"/>
            <w:tcMar>
              <w:top w:w="0" w:type="dxa"/>
              <w:bottom w:w="0" w:type="dxa"/>
            </w:tcMar>
            <w:vAlign w:val="center"/>
          </w:tcPr>
          <w:p w14:paraId="02547CEF" w14:textId="77777777" w:rsidR="005A6C09" w:rsidRDefault="00000000">
            <w:pPr>
              <w:keepNext/>
              <w:keepLines/>
              <w:spacing w:after="0" w:line="240" w:lineRule="auto"/>
              <w:jc w:val="right"/>
            </w:pPr>
            <w:r>
              <w:rPr>
                <w:sz w:val="18"/>
              </w:rPr>
              <w:t>75.000,00</w:t>
            </w:r>
          </w:p>
        </w:tc>
        <w:tc>
          <w:tcPr>
            <w:tcW w:w="1860" w:type="dxa"/>
            <w:tcMar>
              <w:top w:w="0" w:type="dxa"/>
              <w:bottom w:w="0" w:type="dxa"/>
            </w:tcMar>
            <w:vAlign w:val="center"/>
          </w:tcPr>
          <w:p w14:paraId="7E499DC9" w14:textId="77777777" w:rsidR="005A6C09" w:rsidRDefault="00000000">
            <w:pPr>
              <w:keepNext/>
              <w:keepLines/>
              <w:spacing w:after="0" w:line="240" w:lineRule="auto"/>
              <w:jc w:val="right"/>
            </w:pPr>
            <w:r>
              <w:rPr>
                <w:sz w:val="18"/>
              </w:rPr>
              <w:t>69.000,00</w:t>
            </w:r>
          </w:p>
        </w:tc>
        <w:tc>
          <w:tcPr>
            <w:tcW w:w="700" w:type="dxa"/>
            <w:tcMar>
              <w:top w:w="0" w:type="dxa"/>
              <w:bottom w:w="0" w:type="dxa"/>
            </w:tcMar>
            <w:vAlign w:val="center"/>
          </w:tcPr>
          <w:p w14:paraId="6937145E" w14:textId="77777777" w:rsidR="005A6C09" w:rsidRDefault="00000000">
            <w:pPr>
              <w:keepNext/>
              <w:keepLines/>
              <w:spacing w:after="0" w:line="240" w:lineRule="auto"/>
              <w:jc w:val="right"/>
            </w:pPr>
            <w:r>
              <w:rPr>
                <w:sz w:val="18"/>
              </w:rPr>
              <w:t>92,0</w:t>
            </w:r>
          </w:p>
        </w:tc>
      </w:tr>
    </w:tbl>
    <w:p w14:paraId="26EDF1C6" w14:textId="77777777" w:rsidR="005A6C09" w:rsidRDefault="005A6C09">
      <w:pPr>
        <w:spacing w:after="0"/>
      </w:pPr>
    </w:p>
    <w:p w14:paraId="1160ED4F" w14:textId="77777777" w:rsidR="005A6C09" w:rsidRDefault="00000000">
      <w:r>
        <w:t xml:space="preserve">69.000,00 EUR - Sufinanciranje ŽUC-a za izgradnju pješačke staze u ulici </w:t>
      </w:r>
      <w:proofErr w:type="spellStart"/>
      <w:r>
        <w:t>Brodec</w:t>
      </w:r>
      <w:proofErr w:type="spellEnd"/>
      <w:r>
        <w:t xml:space="preserve"> - 1. uporabna cjelina</w:t>
      </w:r>
    </w:p>
    <w:p w14:paraId="4E7CAD67" w14:textId="77777777" w:rsidR="005A6C09" w:rsidRDefault="005A6C09"/>
    <w:p w14:paraId="2015255E" w14:textId="77777777" w:rsidR="005A6C09"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5CD343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475A51"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60C717"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C2AC40"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56E67F"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D56868"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13488D" w14:textId="77777777" w:rsidR="005A6C09" w:rsidRDefault="00000000">
            <w:pPr>
              <w:keepNext/>
              <w:keepLines/>
              <w:spacing w:after="0" w:line="240" w:lineRule="auto"/>
              <w:jc w:val="center"/>
            </w:pPr>
            <w:r>
              <w:rPr>
                <w:b/>
                <w:sz w:val="18"/>
              </w:rPr>
              <w:t>Indeks (%)</w:t>
            </w:r>
          </w:p>
        </w:tc>
      </w:tr>
      <w:tr w:rsidR="005A6C09" w14:paraId="0058C5BC" w14:textId="77777777">
        <w:tblPrEx>
          <w:tblCellMar>
            <w:top w:w="0" w:type="dxa"/>
            <w:bottom w:w="0" w:type="dxa"/>
          </w:tblCellMar>
        </w:tblPrEx>
        <w:trPr>
          <w:cantSplit/>
          <w:trHeight w:val="560"/>
        </w:trPr>
        <w:tc>
          <w:tcPr>
            <w:tcW w:w="700" w:type="dxa"/>
            <w:tcMar>
              <w:top w:w="0" w:type="dxa"/>
              <w:bottom w:w="0" w:type="dxa"/>
            </w:tcMar>
            <w:vAlign w:val="center"/>
          </w:tcPr>
          <w:p w14:paraId="2FC61701" w14:textId="77777777" w:rsidR="005A6C09" w:rsidRDefault="00000000">
            <w:pPr>
              <w:keepNext/>
              <w:keepLines/>
              <w:spacing w:after="0" w:line="240" w:lineRule="auto"/>
            </w:pPr>
            <w:r>
              <w:rPr>
                <w:sz w:val="18"/>
              </w:rPr>
              <w:t>37215</w:t>
            </w:r>
          </w:p>
        </w:tc>
        <w:tc>
          <w:tcPr>
            <w:tcW w:w="3180" w:type="dxa"/>
            <w:tcMar>
              <w:top w:w="0" w:type="dxa"/>
              <w:bottom w:w="0" w:type="dxa"/>
            </w:tcMar>
            <w:vAlign w:val="center"/>
          </w:tcPr>
          <w:p w14:paraId="5D6D5788" w14:textId="77777777" w:rsidR="005A6C09" w:rsidRDefault="00000000">
            <w:pPr>
              <w:keepNext/>
              <w:keepLines/>
              <w:spacing w:after="0" w:line="240" w:lineRule="auto"/>
            </w:pPr>
            <w:r>
              <w:rPr>
                <w:sz w:val="18"/>
              </w:rPr>
              <w:t>Stipendije i školarine</w:t>
            </w:r>
          </w:p>
        </w:tc>
        <w:tc>
          <w:tcPr>
            <w:tcW w:w="700" w:type="dxa"/>
            <w:tcMar>
              <w:top w:w="0" w:type="dxa"/>
              <w:bottom w:w="0" w:type="dxa"/>
            </w:tcMar>
            <w:vAlign w:val="center"/>
          </w:tcPr>
          <w:p w14:paraId="46C3D1E6" w14:textId="77777777" w:rsidR="005A6C09" w:rsidRDefault="00000000">
            <w:pPr>
              <w:keepNext/>
              <w:keepLines/>
              <w:spacing w:after="0" w:line="240" w:lineRule="auto"/>
            </w:pPr>
            <w:r>
              <w:rPr>
                <w:sz w:val="18"/>
              </w:rPr>
              <w:t>37215</w:t>
            </w:r>
          </w:p>
        </w:tc>
        <w:tc>
          <w:tcPr>
            <w:tcW w:w="1860" w:type="dxa"/>
            <w:tcMar>
              <w:top w:w="0" w:type="dxa"/>
              <w:bottom w:w="0" w:type="dxa"/>
            </w:tcMar>
            <w:vAlign w:val="center"/>
          </w:tcPr>
          <w:p w14:paraId="6158480F" w14:textId="77777777" w:rsidR="005A6C09" w:rsidRDefault="00000000">
            <w:pPr>
              <w:keepNext/>
              <w:keepLines/>
              <w:spacing w:after="0" w:line="240" w:lineRule="auto"/>
              <w:jc w:val="right"/>
            </w:pPr>
            <w:r>
              <w:rPr>
                <w:sz w:val="18"/>
              </w:rPr>
              <w:t>9.200,00</w:t>
            </w:r>
          </w:p>
        </w:tc>
        <w:tc>
          <w:tcPr>
            <w:tcW w:w="1860" w:type="dxa"/>
            <w:tcMar>
              <w:top w:w="0" w:type="dxa"/>
              <w:bottom w:w="0" w:type="dxa"/>
            </w:tcMar>
            <w:vAlign w:val="center"/>
          </w:tcPr>
          <w:p w14:paraId="12D149AF" w14:textId="77777777" w:rsidR="005A6C09" w:rsidRDefault="00000000">
            <w:pPr>
              <w:keepNext/>
              <w:keepLines/>
              <w:spacing w:after="0" w:line="240" w:lineRule="auto"/>
              <w:jc w:val="right"/>
            </w:pPr>
            <w:r>
              <w:rPr>
                <w:sz w:val="18"/>
              </w:rPr>
              <w:t>14.510,00</w:t>
            </w:r>
          </w:p>
        </w:tc>
        <w:tc>
          <w:tcPr>
            <w:tcW w:w="700" w:type="dxa"/>
            <w:tcMar>
              <w:top w:w="0" w:type="dxa"/>
              <w:bottom w:w="0" w:type="dxa"/>
            </w:tcMar>
            <w:vAlign w:val="center"/>
          </w:tcPr>
          <w:p w14:paraId="02047713" w14:textId="77777777" w:rsidR="005A6C09" w:rsidRDefault="00000000">
            <w:pPr>
              <w:keepNext/>
              <w:keepLines/>
              <w:spacing w:after="0" w:line="240" w:lineRule="auto"/>
              <w:jc w:val="right"/>
            </w:pPr>
            <w:r>
              <w:rPr>
                <w:sz w:val="18"/>
              </w:rPr>
              <w:t>157,7</w:t>
            </w:r>
          </w:p>
        </w:tc>
      </w:tr>
    </w:tbl>
    <w:p w14:paraId="68A668C1" w14:textId="77777777" w:rsidR="005A6C09" w:rsidRDefault="005A6C09">
      <w:pPr>
        <w:spacing w:after="0"/>
      </w:pPr>
    </w:p>
    <w:p w14:paraId="530DB270" w14:textId="77777777" w:rsidR="005A6C09" w:rsidRDefault="00000000">
      <w:r>
        <w:t>Rashodi za stipendije i školarine ostvareni su u iznosu od 14.510,00 EUR, što predstavlja povećanje od 57,7 % u odnosu na isto razdoblje prethodne godine (9.200,00 EUR). Povećanje rashoda rezultat je povećanja iznosa mjesečnih stipendija. Do 30. lipnja 2026. godine za mjesečne stipendije utrošeno je 11.760,00 EUR, dok je za sufinanciranje školovanja za obrtnička zanimanja utrošeno 2.750,00 EUR.</w:t>
      </w:r>
    </w:p>
    <w:p w14:paraId="4F8345B5" w14:textId="77777777" w:rsidR="005A6C09" w:rsidRDefault="005A6C09"/>
    <w:p w14:paraId="7A16147B" w14:textId="77777777" w:rsidR="005A6C09"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022C0D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1CA9D2"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ABAFF0"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894B12"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1FD48"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2E83DB"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853417" w14:textId="77777777" w:rsidR="005A6C09" w:rsidRDefault="00000000">
            <w:pPr>
              <w:keepNext/>
              <w:keepLines/>
              <w:spacing w:after="0" w:line="240" w:lineRule="auto"/>
              <w:jc w:val="center"/>
            </w:pPr>
            <w:r>
              <w:rPr>
                <w:b/>
                <w:sz w:val="18"/>
              </w:rPr>
              <w:t>Indeks (%)</w:t>
            </w:r>
          </w:p>
        </w:tc>
      </w:tr>
      <w:tr w:rsidR="005A6C09" w14:paraId="08781D20" w14:textId="77777777">
        <w:tblPrEx>
          <w:tblCellMar>
            <w:top w:w="0" w:type="dxa"/>
            <w:bottom w:w="0" w:type="dxa"/>
          </w:tblCellMar>
        </w:tblPrEx>
        <w:trPr>
          <w:cantSplit/>
          <w:trHeight w:val="560"/>
        </w:trPr>
        <w:tc>
          <w:tcPr>
            <w:tcW w:w="700" w:type="dxa"/>
            <w:tcMar>
              <w:top w:w="0" w:type="dxa"/>
              <w:bottom w:w="0" w:type="dxa"/>
            </w:tcMar>
            <w:vAlign w:val="center"/>
          </w:tcPr>
          <w:p w14:paraId="6F0BFBD7" w14:textId="77777777" w:rsidR="005A6C09" w:rsidRDefault="00000000">
            <w:pPr>
              <w:keepNext/>
              <w:keepLines/>
              <w:spacing w:after="0" w:line="240" w:lineRule="auto"/>
            </w:pPr>
            <w:r>
              <w:rPr>
                <w:sz w:val="18"/>
              </w:rPr>
              <w:t>37217</w:t>
            </w:r>
          </w:p>
        </w:tc>
        <w:tc>
          <w:tcPr>
            <w:tcW w:w="3180" w:type="dxa"/>
            <w:tcMar>
              <w:top w:w="0" w:type="dxa"/>
              <w:bottom w:w="0" w:type="dxa"/>
            </w:tcMar>
            <w:vAlign w:val="center"/>
          </w:tcPr>
          <w:p w14:paraId="39C960DE" w14:textId="77777777" w:rsidR="005A6C09" w:rsidRDefault="00000000">
            <w:pPr>
              <w:keepNext/>
              <w:keepLines/>
              <w:spacing w:after="0" w:line="240" w:lineRule="auto"/>
            </w:pPr>
            <w:r>
              <w:rPr>
                <w:sz w:val="18"/>
              </w:rPr>
              <w:t>Porodiljne naknade i oprema za novorođenčad</w:t>
            </w:r>
          </w:p>
        </w:tc>
        <w:tc>
          <w:tcPr>
            <w:tcW w:w="700" w:type="dxa"/>
            <w:tcMar>
              <w:top w:w="0" w:type="dxa"/>
              <w:bottom w:w="0" w:type="dxa"/>
            </w:tcMar>
            <w:vAlign w:val="center"/>
          </w:tcPr>
          <w:p w14:paraId="7D95F57E" w14:textId="77777777" w:rsidR="005A6C09" w:rsidRDefault="00000000">
            <w:pPr>
              <w:keepNext/>
              <w:keepLines/>
              <w:spacing w:after="0" w:line="240" w:lineRule="auto"/>
            </w:pPr>
            <w:r>
              <w:rPr>
                <w:sz w:val="18"/>
              </w:rPr>
              <w:t>37217</w:t>
            </w:r>
          </w:p>
        </w:tc>
        <w:tc>
          <w:tcPr>
            <w:tcW w:w="1860" w:type="dxa"/>
            <w:tcMar>
              <w:top w:w="0" w:type="dxa"/>
              <w:bottom w:w="0" w:type="dxa"/>
            </w:tcMar>
            <w:vAlign w:val="center"/>
          </w:tcPr>
          <w:p w14:paraId="7CF7E299" w14:textId="77777777" w:rsidR="005A6C09" w:rsidRDefault="00000000">
            <w:pPr>
              <w:keepNext/>
              <w:keepLines/>
              <w:spacing w:after="0" w:line="240" w:lineRule="auto"/>
              <w:jc w:val="right"/>
            </w:pPr>
            <w:r>
              <w:rPr>
                <w:sz w:val="18"/>
              </w:rPr>
              <w:t>2.400,00</w:t>
            </w:r>
          </w:p>
        </w:tc>
        <w:tc>
          <w:tcPr>
            <w:tcW w:w="1860" w:type="dxa"/>
            <w:tcMar>
              <w:top w:w="0" w:type="dxa"/>
              <w:bottom w:w="0" w:type="dxa"/>
            </w:tcMar>
            <w:vAlign w:val="center"/>
          </w:tcPr>
          <w:p w14:paraId="4CBD034A" w14:textId="77777777" w:rsidR="005A6C09" w:rsidRDefault="00000000">
            <w:pPr>
              <w:keepNext/>
              <w:keepLines/>
              <w:spacing w:after="0" w:line="240" w:lineRule="auto"/>
              <w:jc w:val="right"/>
            </w:pPr>
            <w:r>
              <w:rPr>
                <w:sz w:val="18"/>
              </w:rPr>
              <w:t>1.800,00</w:t>
            </w:r>
          </w:p>
        </w:tc>
        <w:tc>
          <w:tcPr>
            <w:tcW w:w="700" w:type="dxa"/>
            <w:tcMar>
              <w:top w:w="0" w:type="dxa"/>
              <w:bottom w:w="0" w:type="dxa"/>
            </w:tcMar>
            <w:vAlign w:val="center"/>
          </w:tcPr>
          <w:p w14:paraId="0A340388" w14:textId="77777777" w:rsidR="005A6C09" w:rsidRDefault="00000000">
            <w:pPr>
              <w:keepNext/>
              <w:keepLines/>
              <w:spacing w:after="0" w:line="240" w:lineRule="auto"/>
              <w:jc w:val="right"/>
            </w:pPr>
            <w:r>
              <w:rPr>
                <w:sz w:val="18"/>
              </w:rPr>
              <w:t>75,0</w:t>
            </w:r>
          </w:p>
        </w:tc>
      </w:tr>
    </w:tbl>
    <w:p w14:paraId="03020841" w14:textId="77777777" w:rsidR="005A6C09" w:rsidRDefault="005A6C09">
      <w:pPr>
        <w:spacing w:after="0"/>
      </w:pPr>
    </w:p>
    <w:p w14:paraId="00035EDD" w14:textId="77777777" w:rsidR="005A6C09" w:rsidRDefault="00000000">
      <w:r>
        <w:t>Naknada za novorođeno dijete odnosi se na 4 korisnika, 2 korisnika ostvarilo je isplatu od 600,00 EUR i 2 korisnika naknadu u iznosu od 300,00 EUR.</w:t>
      </w:r>
    </w:p>
    <w:p w14:paraId="1C5AEF13" w14:textId="77777777" w:rsidR="005A6C09" w:rsidRDefault="005A6C09"/>
    <w:p w14:paraId="67926B82" w14:textId="77777777" w:rsidR="005A6C09"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455476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3351CF"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D66E82"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5A31E3"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38C84C"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690F1B"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75769E" w14:textId="77777777" w:rsidR="005A6C09" w:rsidRDefault="00000000">
            <w:pPr>
              <w:keepNext/>
              <w:keepLines/>
              <w:spacing w:after="0" w:line="240" w:lineRule="auto"/>
              <w:jc w:val="center"/>
            </w:pPr>
            <w:r>
              <w:rPr>
                <w:b/>
                <w:sz w:val="18"/>
              </w:rPr>
              <w:t>Indeks (%)</w:t>
            </w:r>
          </w:p>
        </w:tc>
      </w:tr>
      <w:tr w:rsidR="005A6C09" w14:paraId="0780A3F5" w14:textId="77777777">
        <w:tblPrEx>
          <w:tblCellMar>
            <w:top w:w="0" w:type="dxa"/>
            <w:bottom w:w="0" w:type="dxa"/>
          </w:tblCellMar>
        </w:tblPrEx>
        <w:trPr>
          <w:cantSplit/>
          <w:trHeight w:val="560"/>
        </w:trPr>
        <w:tc>
          <w:tcPr>
            <w:tcW w:w="700" w:type="dxa"/>
            <w:tcMar>
              <w:top w:w="0" w:type="dxa"/>
              <w:bottom w:w="0" w:type="dxa"/>
            </w:tcMar>
            <w:vAlign w:val="center"/>
          </w:tcPr>
          <w:p w14:paraId="54492979" w14:textId="77777777" w:rsidR="005A6C09" w:rsidRDefault="00000000">
            <w:pPr>
              <w:keepNext/>
              <w:keepLines/>
              <w:spacing w:after="0" w:line="240" w:lineRule="auto"/>
            </w:pPr>
            <w:r>
              <w:rPr>
                <w:sz w:val="18"/>
              </w:rPr>
              <w:t>37219</w:t>
            </w:r>
          </w:p>
        </w:tc>
        <w:tc>
          <w:tcPr>
            <w:tcW w:w="3180" w:type="dxa"/>
            <w:tcMar>
              <w:top w:w="0" w:type="dxa"/>
              <w:bottom w:w="0" w:type="dxa"/>
            </w:tcMar>
            <w:vAlign w:val="center"/>
          </w:tcPr>
          <w:p w14:paraId="15C8F7F4" w14:textId="77777777" w:rsidR="005A6C09" w:rsidRDefault="00000000">
            <w:pPr>
              <w:keepNext/>
              <w:keepLines/>
              <w:spacing w:after="0" w:line="240" w:lineRule="auto"/>
            </w:pPr>
            <w:r>
              <w:rPr>
                <w:sz w:val="18"/>
              </w:rPr>
              <w:t>Ostale naknade iz proračuna u novcu</w:t>
            </w:r>
          </w:p>
        </w:tc>
        <w:tc>
          <w:tcPr>
            <w:tcW w:w="700" w:type="dxa"/>
            <w:tcMar>
              <w:top w:w="0" w:type="dxa"/>
              <w:bottom w:w="0" w:type="dxa"/>
            </w:tcMar>
            <w:vAlign w:val="center"/>
          </w:tcPr>
          <w:p w14:paraId="59DCFBD1" w14:textId="77777777" w:rsidR="005A6C09" w:rsidRDefault="00000000">
            <w:pPr>
              <w:keepNext/>
              <w:keepLines/>
              <w:spacing w:after="0" w:line="240" w:lineRule="auto"/>
            </w:pPr>
            <w:r>
              <w:rPr>
                <w:sz w:val="18"/>
              </w:rPr>
              <w:t>37219</w:t>
            </w:r>
          </w:p>
        </w:tc>
        <w:tc>
          <w:tcPr>
            <w:tcW w:w="1860" w:type="dxa"/>
            <w:tcMar>
              <w:top w:w="0" w:type="dxa"/>
              <w:bottom w:w="0" w:type="dxa"/>
            </w:tcMar>
            <w:vAlign w:val="center"/>
          </w:tcPr>
          <w:p w14:paraId="0DB57944" w14:textId="77777777" w:rsidR="005A6C09" w:rsidRDefault="00000000">
            <w:pPr>
              <w:keepNext/>
              <w:keepLines/>
              <w:spacing w:after="0" w:line="240" w:lineRule="auto"/>
              <w:jc w:val="right"/>
            </w:pPr>
            <w:r>
              <w:rPr>
                <w:sz w:val="18"/>
              </w:rPr>
              <w:t>0,00</w:t>
            </w:r>
          </w:p>
        </w:tc>
        <w:tc>
          <w:tcPr>
            <w:tcW w:w="1860" w:type="dxa"/>
            <w:tcMar>
              <w:top w:w="0" w:type="dxa"/>
              <w:bottom w:w="0" w:type="dxa"/>
            </w:tcMar>
            <w:vAlign w:val="center"/>
          </w:tcPr>
          <w:p w14:paraId="05F9CE3E" w14:textId="77777777" w:rsidR="005A6C09" w:rsidRDefault="00000000">
            <w:pPr>
              <w:keepNext/>
              <w:keepLines/>
              <w:spacing w:after="0" w:line="240" w:lineRule="auto"/>
              <w:jc w:val="right"/>
            </w:pPr>
            <w:r>
              <w:rPr>
                <w:sz w:val="18"/>
              </w:rPr>
              <w:t>15.900,00</w:t>
            </w:r>
          </w:p>
        </w:tc>
        <w:tc>
          <w:tcPr>
            <w:tcW w:w="700" w:type="dxa"/>
            <w:tcMar>
              <w:top w:w="0" w:type="dxa"/>
              <w:bottom w:w="0" w:type="dxa"/>
            </w:tcMar>
            <w:vAlign w:val="center"/>
          </w:tcPr>
          <w:p w14:paraId="5B69DE43" w14:textId="77777777" w:rsidR="005A6C09" w:rsidRDefault="00000000">
            <w:pPr>
              <w:keepNext/>
              <w:keepLines/>
              <w:spacing w:after="0" w:line="240" w:lineRule="auto"/>
              <w:jc w:val="right"/>
            </w:pPr>
            <w:r>
              <w:rPr>
                <w:sz w:val="18"/>
              </w:rPr>
              <w:t>-</w:t>
            </w:r>
          </w:p>
        </w:tc>
      </w:tr>
    </w:tbl>
    <w:p w14:paraId="6D1EABE4" w14:textId="77777777" w:rsidR="005A6C09" w:rsidRDefault="005A6C09">
      <w:pPr>
        <w:spacing w:after="0"/>
      </w:pPr>
    </w:p>
    <w:p w14:paraId="4CB54B61" w14:textId="77777777" w:rsidR="005A6C09" w:rsidRDefault="00000000">
      <w:r>
        <w:t>Sufinanciranje priključaka mještana na optičku mrežu. </w:t>
      </w:r>
    </w:p>
    <w:p w14:paraId="6219A453" w14:textId="77777777" w:rsidR="005A6C09" w:rsidRDefault="005A6C09"/>
    <w:p w14:paraId="0CC1E710" w14:textId="77777777" w:rsidR="005A6C09"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60C180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C9FB4D"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BA6C13"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D0EA18"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B188B7"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D6A0D6"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4E8BD" w14:textId="77777777" w:rsidR="005A6C09" w:rsidRDefault="00000000">
            <w:pPr>
              <w:keepNext/>
              <w:keepLines/>
              <w:spacing w:after="0" w:line="240" w:lineRule="auto"/>
              <w:jc w:val="center"/>
            </w:pPr>
            <w:r>
              <w:rPr>
                <w:b/>
                <w:sz w:val="18"/>
              </w:rPr>
              <w:t>Indeks (%)</w:t>
            </w:r>
          </w:p>
        </w:tc>
      </w:tr>
      <w:tr w:rsidR="005A6C09" w14:paraId="6F8D3482" w14:textId="77777777">
        <w:tblPrEx>
          <w:tblCellMar>
            <w:top w:w="0" w:type="dxa"/>
            <w:bottom w:w="0" w:type="dxa"/>
          </w:tblCellMar>
        </w:tblPrEx>
        <w:trPr>
          <w:cantSplit/>
          <w:trHeight w:val="560"/>
        </w:trPr>
        <w:tc>
          <w:tcPr>
            <w:tcW w:w="700" w:type="dxa"/>
            <w:tcMar>
              <w:top w:w="0" w:type="dxa"/>
              <w:bottom w:w="0" w:type="dxa"/>
            </w:tcMar>
            <w:vAlign w:val="center"/>
          </w:tcPr>
          <w:p w14:paraId="7A7C4EB3" w14:textId="77777777" w:rsidR="005A6C09" w:rsidRDefault="00000000">
            <w:pPr>
              <w:keepNext/>
              <w:keepLines/>
              <w:spacing w:after="0" w:line="240" w:lineRule="auto"/>
            </w:pPr>
            <w:r>
              <w:rPr>
                <w:sz w:val="18"/>
              </w:rPr>
              <w:t>37229</w:t>
            </w:r>
          </w:p>
        </w:tc>
        <w:tc>
          <w:tcPr>
            <w:tcW w:w="3180" w:type="dxa"/>
            <w:tcMar>
              <w:top w:w="0" w:type="dxa"/>
              <w:bottom w:w="0" w:type="dxa"/>
            </w:tcMar>
            <w:vAlign w:val="center"/>
          </w:tcPr>
          <w:p w14:paraId="0DE42F3A" w14:textId="77777777" w:rsidR="005A6C09" w:rsidRDefault="00000000">
            <w:pPr>
              <w:keepNext/>
              <w:keepLines/>
              <w:spacing w:after="0" w:line="240" w:lineRule="auto"/>
            </w:pPr>
            <w:r>
              <w:rPr>
                <w:sz w:val="18"/>
              </w:rPr>
              <w:t>Ostale naknade iz proračuna u naravi</w:t>
            </w:r>
          </w:p>
        </w:tc>
        <w:tc>
          <w:tcPr>
            <w:tcW w:w="700" w:type="dxa"/>
            <w:tcMar>
              <w:top w:w="0" w:type="dxa"/>
              <w:bottom w:w="0" w:type="dxa"/>
            </w:tcMar>
            <w:vAlign w:val="center"/>
          </w:tcPr>
          <w:p w14:paraId="05F483D7" w14:textId="77777777" w:rsidR="005A6C09" w:rsidRDefault="00000000">
            <w:pPr>
              <w:keepNext/>
              <w:keepLines/>
              <w:spacing w:after="0" w:line="240" w:lineRule="auto"/>
            </w:pPr>
            <w:r>
              <w:rPr>
                <w:sz w:val="18"/>
              </w:rPr>
              <w:t>37229</w:t>
            </w:r>
          </w:p>
        </w:tc>
        <w:tc>
          <w:tcPr>
            <w:tcW w:w="1860" w:type="dxa"/>
            <w:tcMar>
              <w:top w:w="0" w:type="dxa"/>
              <w:bottom w:w="0" w:type="dxa"/>
            </w:tcMar>
            <w:vAlign w:val="center"/>
          </w:tcPr>
          <w:p w14:paraId="10727253" w14:textId="77777777" w:rsidR="005A6C09" w:rsidRDefault="00000000">
            <w:pPr>
              <w:keepNext/>
              <w:keepLines/>
              <w:spacing w:after="0" w:line="240" w:lineRule="auto"/>
              <w:jc w:val="right"/>
            </w:pPr>
            <w:r>
              <w:rPr>
                <w:sz w:val="18"/>
              </w:rPr>
              <w:t>10.165,00</w:t>
            </w:r>
          </w:p>
        </w:tc>
        <w:tc>
          <w:tcPr>
            <w:tcW w:w="1860" w:type="dxa"/>
            <w:tcMar>
              <w:top w:w="0" w:type="dxa"/>
              <w:bottom w:w="0" w:type="dxa"/>
            </w:tcMar>
            <w:vAlign w:val="center"/>
          </w:tcPr>
          <w:p w14:paraId="11989BDE" w14:textId="77777777" w:rsidR="005A6C09" w:rsidRDefault="00000000">
            <w:pPr>
              <w:keepNext/>
              <w:keepLines/>
              <w:spacing w:after="0" w:line="240" w:lineRule="auto"/>
              <w:jc w:val="right"/>
            </w:pPr>
            <w:r>
              <w:rPr>
                <w:sz w:val="18"/>
              </w:rPr>
              <w:t>14.392,50</w:t>
            </w:r>
          </w:p>
        </w:tc>
        <w:tc>
          <w:tcPr>
            <w:tcW w:w="700" w:type="dxa"/>
            <w:tcMar>
              <w:top w:w="0" w:type="dxa"/>
              <w:bottom w:w="0" w:type="dxa"/>
            </w:tcMar>
            <w:vAlign w:val="center"/>
          </w:tcPr>
          <w:p w14:paraId="26A05297" w14:textId="77777777" w:rsidR="005A6C09" w:rsidRDefault="00000000">
            <w:pPr>
              <w:keepNext/>
              <w:keepLines/>
              <w:spacing w:after="0" w:line="240" w:lineRule="auto"/>
              <w:jc w:val="right"/>
            </w:pPr>
            <w:r>
              <w:rPr>
                <w:sz w:val="18"/>
              </w:rPr>
              <w:t>141,6</w:t>
            </w:r>
          </w:p>
        </w:tc>
      </w:tr>
    </w:tbl>
    <w:p w14:paraId="17244E46" w14:textId="77777777" w:rsidR="005A6C09" w:rsidRDefault="005A6C09">
      <w:pPr>
        <w:spacing w:after="0"/>
      </w:pPr>
    </w:p>
    <w:p w14:paraId="66DB8E65" w14:textId="77777777" w:rsidR="005A6C09" w:rsidRDefault="00000000">
      <w:r>
        <w:t>Navedeno se odnosi za kupnju bonova u Trgovini Krk za mještane povodom Uskrsa.</w:t>
      </w:r>
    </w:p>
    <w:p w14:paraId="0FF2B706" w14:textId="77777777" w:rsidR="005A6C09" w:rsidRDefault="005A6C09"/>
    <w:p w14:paraId="6D641E18" w14:textId="77777777" w:rsidR="005A6C09"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6C09" w14:paraId="633CD3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E37269"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A8EB02"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4C5C6E"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82C45A" w14:textId="77777777" w:rsidR="005A6C0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B362BF" w14:textId="77777777" w:rsidR="005A6C0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E0201D" w14:textId="77777777" w:rsidR="005A6C09" w:rsidRDefault="00000000">
            <w:pPr>
              <w:keepNext/>
              <w:keepLines/>
              <w:spacing w:after="0" w:line="240" w:lineRule="auto"/>
              <w:jc w:val="center"/>
            </w:pPr>
            <w:r>
              <w:rPr>
                <w:b/>
                <w:sz w:val="18"/>
              </w:rPr>
              <w:t>Indeks (%)</w:t>
            </w:r>
          </w:p>
        </w:tc>
      </w:tr>
      <w:tr w:rsidR="005A6C09" w14:paraId="03D3DE0E" w14:textId="77777777">
        <w:tblPrEx>
          <w:tblCellMar>
            <w:top w:w="0" w:type="dxa"/>
            <w:bottom w:w="0" w:type="dxa"/>
          </w:tblCellMar>
        </w:tblPrEx>
        <w:trPr>
          <w:cantSplit/>
          <w:trHeight w:val="560"/>
        </w:trPr>
        <w:tc>
          <w:tcPr>
            <w:tcW w:w="700" w:type="dxa"/>
            <w:tcMar>
              <w:top w:w="0" w:type="dxa"/>
              <w:bottom w:w="0" w:type="dxa"/>
            </w:tcMar>
            <w:vAlign w:val="center"/>
          </w:tcPr>
          <w:p w14:paraId="2F8D7C7B" w14:textId="77777777" w:rsidR="005A6C09" w:rsidRDefault="00000000">
            <w:pPr>
              <w:keepNext/>
              <w:keepLines/>
              <w:spacing w:after="0" w:line="240" w:lineRule="auto"/>
            </w:pPr>
            <w:r>
              <w:rPr>
                <w:sz w:val="18"/>
              </w:rPr>
              <w:t>38117</w:t>
            </w:r>
          </w:p>
        </w:tc>
        <w:tc>
          <w:tcPr>
            <w:tcW w:w="3180" w:type="dxa"/>
            <w:tcMar>
              <w:top w:w="0" w:type="dxa"/>
              <w:bottom w:w="0" w:type="dxa"/>
            </w:tcMar>
            <w:vAlign w:val="center"/>
          </w:tcPr>
          <w:p w14:paraId="61ED387F" w14:textId="77777777" w:rsidR="005A6C09" w:rsidRDefault="00000000">
            <w:pPr>
              <w:keepNext/>
              <w:keepLines/>
              <w:spacing w:after="0" w:line="240" w:lineRule="auto"/>
            </w:pPr>
            <w:r>
              <w:rPr>
                <w:sz w:val="18"/>
              </w:rPr>
              <w:t>Tekuće donacije građanima i kućanstvima</w:t>
            </w:r>
          </w:p>
        </w:tc>
        <w:tc>
          <w:tcPr>
            <w:tcW w:w="700" w:type="dxa"/>
            <w:tcMar>
              <w:top w:w="0" w:type="dxa"/>
              <w:bottom w:w="0" w:type="dxa"/>
            </w:tcMar>
            <w:vAlign w:val="center"/>
          </w:tcPr>
          <w:p w14:paraId="649D5AB8" w14:textId="77777777" w:rsidR="005A6C09" w:rsidRDefault="00000000">
            <w:pPr>
              <w:keepNext/>
              <w:keepLines/>
              <w:spacing w:after="0" w:line="240" w:lineRule="auto"/>
            </w:pPr>
            <w:r>
              <w:rPr>
                <w:sz w:val="18"/>
              </w:rPr>
              <w:t>38117</w:t>
            </w:r>
          </w:p>
        </w:tc>
        <w:tc>
          <w:tcPr>
            <w:tcW w:w="1860" w:type="dxa"/>
            <w:tcMar>
              <w:top w:w="0" w:type="dxa"/>
              <w:bottom w:w="0" w:type="dxa"/>
            </w:tcMar>
            <w:vAlign w:val="center"/>
          </w:tcPr>
          <w:p w14:paraId="03AE24FB" w14:textId="77777777" w:rsidR="005A6C09" w:rsidRDefault="00000000">
            <w:pPr>
              <w:keepNext/>
              <w:keepLines/>
              <w:spacing w:after="0" w:line="240" w:lineRule="auto"/>
              <w:jc w:val="right"/>
            </w:pPr>
            <w:r>
              <w:rPr>
                <w:sz w:val="18"/>
              </w:rPr>
              <w:t>45.523,86</w:t>
            </w:r>
          </w:p>
        </w:tc>
        <w:tc>
          <w:tcPr>
            <w:tcW w:w="1860" w:type="dxa"/>
            <w:tcMar>
              <w:top w:w="0" w:type="dxa"/>
              <w:bottom w:w="0" w:type="dxa"/>
            </w:tcMar>
            <w:vAlign w:val="center"/>
          </w:tcPr>
          <w:p w14:paraId="4ACD6662" w14:textId="77777777" w:rsidR="005A6C09" w:rsidRDefault="00000000">
            <w:pPr>
              <w:keepNext/>
              <w:keepLines/>
              <w:spacing w:after="0" w:line="240" w:lineRule="auto"/>
              <w:jc w:val="right"/>
            </w:pPr>
            <w:r>
              <w:rPr>
                <w:sz w:val="18"/>
              </w:rPr>
              <w:t>89.315,39</w:t>
            </w:r>
          </w:p>
        </w:tc>
        <w:tc>
          <w:tcPr>
            <w:tcW w:w="700" w:type="dxa"/>
            <w:tcMar>
              <w:top w:w="0" w:type="dxa"/>
              <w:bottom w:w="0" w:type="dxa"/>
            </w:tcMar>
            <w:vAlign w:val="center"/>
          </w:tcPr>
          <w:p w14:paraId="44DD9618" w14:textId="77777777" w:rsidR="005A6C09" w:rsidRDefault="00000000">
            <w:pPr>
              <w:keepNext/>
              <w:keepLines/>
              <w:spacing w:after="0" w:line="240" w:lineRule="auto"/>
              <w:jc w:val="right"/>
            </w:pPr>
            <w:r>
              <w:rPr>
                <w:sz w:val="18"/>
              </w:rPr>
              <w:t>196,2</w:t>
            </w:r>
          </w:p>
        </w:tc>
      </w:tr>
    </w:tbl>
    <w:p w14:paraId="71FA6F90" w14:textId="77777777" w:rsidR="005A6C09" w:rsidRDefault="005A6C09">
      <w:pPr>
        <w:spacing w:after="0"/>
      </w:pPr>
    </w:p>
    <w:p w14:paraId="2F96D529" w14:textId="77777777" w:rsidR="005A6C09" w:rsidRDefault="00000000">
      <w:r>
        <w:t>Rashodi na kontu 38117 – Tekuće donacije građanima i kućanstvima u izvještajnom razdoblju tekuće godine ostvareni su u iznosu od 89.315,39 EUR, što predstavlja povećanje od 96,2 % u odnosu na isto izvještajno razdoblje prethodne godine, kada su iznosili 45.523,86 EUR.</w:t>
      </w:r>
    </w:p>
    <w:p w14:paraId="487C4476" w14:textId="77777777" w:rsidR="005A6C09" w:rsidRDefault="00000000">
      <w:r>
        <w:t xml:space="preserve">Najveći razlog povećanja odnosi se na tekuću donaciju Dobrovoljnom vatrogasnom društvu </w:t>
      </w:r>
      <w:proofErr w:type="spellStart"/>
      <w:r>
        <w:t>Vratišinec</w:t>
      </w:r>
      <w:proofErr w:type="spellEnd"/>
      <w:r>
        <w:t xml:space="preserve"> za kombi vozilo u skladu s Odlukom vijeća.</w:t>
      </w:r>
    </w:p>
    <w:p w14:paraId="625B300B" w14:textId="77777777" w:rsidR="005A6C09" w:rsidRDefault="00000000">
      <w:r>
        <w:t xml:space="preserve">Osim navedenog, sredstva su utrošena za financiranje redovnih aktivnosti i projekata udruga i drugih korisnika, i to za: političke stranke (1.302,00 EUR), sportske projekte (7.500,00 EUR), projekte iz područja kulture (11.400,00 EUR), Savjet mladih (307,08 EUR), sredstva za udruživanje po sporazumu VZMŽ (250,28 EUR), DVD Gornji Kraljevec (6.500,00 EUR), Vatrogasnu zajednicu Općine </w:t>
      </w:r>
      <w:proofErr w:type="spellStart"/>
      <w:r>
        <w:t>Vratišinec</w:t>
      </w:r>
      <w:proofErr w:type="spellEnd"/>
      <w:r>
        <w:t xml:space="preserve"> (400,00 EUR), Gradsko društvo Crvenog križa (2.130,67 EUR), Hrvatsku gorsku službu spašavanja (1.673,00 EUR), jednokratne pomoći i troškove stanovanja u okviru socijalne skrbi (2.702,36 EUR), ostale projekte udruga civilnog društva (11.450,00 EUR) te donacije za sponzorstva i pokroviteljstva manifestacija (600,00 EUR).</w:t>
      </w:r>
    </w:p>
    <w:p w14:paraId="5F4EF348" w14:textId="77777777" w:rsidR="005A6C09" w:rsidRDefault="005A6C09"/>
    <w:p w14:paraId="72D7F076" w14:textId="77777777" w:rsidR="005A6C09" w:rsidRDefault="00000000">
      <w:pPr>
        <w:keepNext/>
        <w:spacing w:line="240" w:lineRule="auto"/>
        <w:jc w:val="center"/>
      </w:pPr>
      <w:r>
        <w:rPr>
          <w:b/>
          <w:sz w:val="28"/>
        </w:rPr>
        <w:t>Izvještaj o obvezama</w:t>
      </w:r>
    </w:p>
    <w:p w14:paraId="6130E0DE" w14:textId="77777777" w:rsidR="005A6C09"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A6C09" w14:paraId="6D89B7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2F842F"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EEC941"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AB95B5"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9B2B73" w14:textId="77777777" w:rsidR="005A6C0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BDECDCB" w14:textId="77777777" w:rsidR="005A6C09" w:rsidRDefault="00000000">
            <w:pPr>
              <w:keepNext/>
              <w:keepLines/>
              <w:spacing w:after="0" w:line="240" w:lineRule="auto"/>
              <w:jc w:val="center"/>
            </w:pPr>
            <w:r>
              <w:rPr>
                <w:b/>
                <w:sz w:val="18"/>
              </w:rPr>
              <w:t>Indeks (%)</w:t>
            </w:r>
          </w:p>
        </w:tc>
      </w:tr>
      <w:tr w:rsidR="005A6C09" w14:paraId="2525A4E7" w14:textId="77777777">
        <w:tblPrEx>
          <w:tblCellMar>
            <w:top w:w="0" w:type="dxa"/>
            <w:bottom w:w="0" w:type="dxa"/>
          </w:tblCellMar>
        </w:tblPrEx>
        <w:trPr>
          <w:cantSplit/>
          <w:trHeight w:val="560"/>
        </w:trPr>
        <w:tc>
          <w:tcPr>
            <w:tcW w:w="700" w:type="dxa"/>
            <w:tcMar>
              <w:top w:w="0" w:type="dxa"/>
              <w:bottom w:w="0" w:type="dxa"/>
            </w:tcMar>
            <w:vAlign w:val="center"/>
          </w:tcPr>
          <w:p w14:paraId="5755FE31" w14:textId="77777777" w:rsidR="005A6C09" w:rsidRDefault="00000000">
            <w:pPr>
              <w:keepNext/>
              <w:keepLines/>
              <w:spacing w:after="0" w:line="240" w:lineRule="auto"/>
            </w:pPr>
            <w:r>
              <w:rPr>
                <w:sz w:val="18"/>
              </w:rPr>
              <w:t>234</w:t>
            </w:r>
          </w:p>
        </w:tc>
        <w:tc>
          <w:tcPr>
            <w:tcW w:w="3180" w:type="dxa"/>
            <w:tcMar>
              <w:top w:w="0" w:type="dxa"/>
              <w:bottom w:w="0" w:type="dxa"/>
            </w:tcMar>
            <w:vAlign w:val="center"/>
          </w:tcPr>
          <w:p w14:paraId="190576E5" w14:textId="77777777" w:rsidR="005A6C09" w:rsidRDefault="00000000">
            <w:pPr>
              <w:keepNext/>
              <w:keepLines/>
              <w:spacing w:after="0" w:line="240" w:lineRule="auto"/>
            </w:pPr>
            <w:r>
              <w:rPr>
                <w:sz w:val="18"/>
              </w:rPr>
              <w:t>Obveze za financijske rashode</w:t>
            </w:r>
          </w:p>
        </w:tc>
        <w:tc>
          <w:tcPr>
            <w:tcW w:w="700" w:type="dxa"/>
            <w:tcMar>
              <w:top w:w="0" w:type="dxa"/>
              <w:bottom w:w="0" w:type="dxa"/>
            </w:tcMar>
            <w:vAlign w:val="center"/>
          </w:tcPr>
          <w:p w14:paraId="01AEE18C" w14:textId="77777777" w:rsidR="005A6C09" w:rsidRDefault="00000000">
            <w:pPr>
              <w:keepNext/>
              <w:keepLines/>
              <w:spacing w:after="0" w:line="240" w:lineRule="auto"/>
            </w:pPr>
            <w:r>
              <w:rPr>
                <w:sz w:val="18"/>
              </w:rPr>
              <w:t>P234</w:t>
            </w:r>
          </w:p>
        </w:tc>
        <w:tc>
          <w:tcPr>
            <w:tcW w:w="1860" w:type="dxa"/>
            <w:tcMar>
              <w:top w:w="0" w:type="dxa"/>
              <w:bottom w:w="0" w:type="dxa"/>
            </w:tcMar>
            <w:vAlign w:val="center"/>
          </w:tcPr>
          <w:p w14:paraId="2D0F6DBC" w14:textId="77777777" w:rsidR="005A6C09" w:rsidRDefault="00000000">
            <w:pPr>
              <w:keepNext/>
              <w:keepLines/>
              <w:spacing w:after="0" w:line="240" w:lineRule="auto"/>
              <w:jc w:val="right"/>
            </w:pPr>
            <w:r>
              <w:rPr>
                <w:sz w:val="18"/>
              </w:rPr>
              <w:t>12.366,38</w:t>
            </w:r>
          </w:p>
        </w:tc>
        <w:tc>
          <w:tcPr>
            <w:tcW w:w="700" w:type="dxa"/>
            <w:tcMar>
              <w:top w:w="0" w:type="dxa"/>
              <w:bottom w:w="0" w:type="dxa"/>
            </w:tcMar>
            <w:vAlign w:val="center"/>
          </w:tcPr>
          <w:p w14:paraId="43F18FC7" w14:textId="77777777" w:rsidR="005A6C09" w:rsidRDefault="00000000">
            <w:pPr>
              <w:keepNext/>
              <w:keepLines/>
              <w:spacing w:after="0" w:line="240" w:lineRule="auto"/>
              <w:jc w:val="right"/>
            </w:pPr>
            <w:r>
              <w:rPr>
                <w:sz w:val="18"/>
              </w:rPr>
              <w:t>-</w:t>
            </w:r>
          </w:p>
        </w:tc>
      </w:tr>
    </w:tbl>
    <w:p w14:paraId="30340311" w14:textId="77777777" w:rsidR="005A6C09" w:rsidRDefault="005A6C09">
      <w:pPr>
        <w:spacing w:after="0"/>
      </w:pPr>
    </w:p>
    <w:p w14:paraId="56667226" w14:textId="77777777" w:rsidR="005A6C09" w:rsidRDefault="00000000">
      <w:r>
        <w:t>Obveza prema FINI, PBZ iznosi ukupno 101,51 EUR za usluge za lipanj 2026. godine, a preostali dio se odnosi na zatezne kamate iz poslovnih odnosa - sudska nagodba HIDROING.</w:t>
      </w:r>
    </w:p>
    <w:p w14:paraId="333606E1" w14:textId="77777777" w:rsidR="005A6C09" w:rsidRDefault="005A6C09"/>
    <w:p w14:paraId="3AB2AEDE" w14:textId="77777777" w:rsidR="005A6C09"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A6C09" w14:paraId="6A593B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EB5F46"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B2FE76"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8BC6D"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C166FB" w14:textId="77777777" w:rsidR="005A6C0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988CAB" w14:textId="77777777" w:rsidR="005A6C09" w:rsidRDefault="00000000">
            <w:pPr>
              <w:keepNext/>
              <w:keepLines/>
              <w:spacing w:after="0" w:line="240" w:lineRule="auto"/>
              <w:jc w:val="center"/>
            </w:pPr>
            <w:r>
              <w:rPr>
                <w:b/>
                <w:sz w:val="18"/>
              </w:rPr>
              <w:t>Indeks (%)</w:t>
            </w:r>
          </w:p>
        </w:tc>
      </w:tr>
      <w:tr w:rsidR="005A6C09" w14:paraId="1A577776" w14:textId="77777777">
        <w:tblPrEx>
          <w:tblCellMar>
            <w:top w:w="0" w:type="dxa"/>
            <w:bottom w:w="0" w:type="dxa"/>
          </w:tblCellMar>
        </w:tblPrEx>
        <w:trPr>
          <w:cantSplit/>
          <w:trHeight w:val="560"/>
        </w:trPr>
        <w:tc>
          <w:tcPr>
            <w:tcW w:w="700" w:type="dxa"/>
            <w:tcMar>
              <w:top w:w="0" w:type="dxa"/>
              <w:bottom w:w="0" w:type="dxa"/>
            </w:tcMar>
            <w:vAlign w:val="center"/>
          </w:tcPr>
          <w:p w14:paraId="7C529D6E" w14:textId="77777777" w:rsidR="005A6C09" w:rsidRDefault="005A6C09">
            <w:pPr>
              <w:keepNext/>
              <w:keepLines/>
              <w:spacing w:after="0" w:line="240" w:lineRule="auto"/>
            </w:pPr>
          </w:p>
        </w:tc>
        <w:tc>
          <w:tcPr>
            <w:tcW w:w="3180" w:type="dxa"/>
            <w:tcMar>
              <w:top w:w="0" w:type="dxa"/>
              <w:bottom w:w="0" w:type="dxa"/>
            </w:tcMar>
            <w:vAlign w:val="center"/>
          </w:tcPr>
          <w:p w14:paraId="086E7967" w14:textId="77777777" w:rsidR="005A6C09"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1342263" w14:textId="77777777" w:rsidR="005A6C09" w:rsidRDefault="00000000">
            <w:pPr>
              <w:keepNext/>
              <w:keepLines/>
              <w:spacing w:after="0" w:line="240" w:lineRule="auto"/>
            </w:pPr>
            <w:r>
              <w:rPr>
                <w:sz w:val="18"/>
              </w:rPr>
              <w:t>V007</w:t>
            </w:r>
          </w:p>
        </w:tc>
        <w:tc>
          <w:tcPr>
            <w:tcW w:w="1860" w:type="dxa"/>
            <w:tcMar>
              <w:top w:w="0" w:type="dxa"/>
              <w:bottom w:w="0" w:type="dxa"/>
            </w:tcMar>
            <w:vAlign w:val="center"/>
          </w:tcPr>
          <w:p w14:paraId="1817EBC3" w14:textId="77777777" w:rsidR="005A6C09" w:rsidRDefault="00000000">
            <w:pPr>
              <w:keepNext/>
              <w:keepLines/>
              <w:spacing w:after="0" w:line="240" w:lineRule="auto"/>
              <w:jc w:val="right"/>
            </w:pPr>
            <w:r>
              <w:rPr>
                <w:sz w:val="18"/>
              </w:rPr>
              <w:t>4.420,12</w:t>
            </w:r>
          </w:p>
        </w:tc>
        <w:tc>
          <w:tcPr>
            <w:tcW w:w="700" w:type="dxa"/>
            <w:tcMar>
              <w:top w:w="0" w:type="dxa"/>
              <w:bottom w:w="0" w:type="dxa"/>
            </w:tcMar>
            <w:vAlign w:val="center"/>
          </w:tcPr>
          <w:p w14:paraId="68BC495E" w14:textId="77777777" w:rsidR="005A6C09" w:rsidRDefault="00000000">
            <w:pPr>
              <w:keepNext/>
              <w:keepLines/>
              <w:spacing w:after="0" w:line="240" w:lineRule="auto"/>
              <w:jc w:val="right"/>
            </w:pPr>
            <w:r>
              <w:rPr>
                <w:sz w:val="18"/>
              </w:rPr>
              <w:t>-</w:t>
            </w:r>
          </w:p>
        </w:tc>
      </w:tr>
    </w:tbl>
    <w:p w14:paraId="288EBB51" w14:textId="77777777" w:rsidR="005A6C09" w:rsidRDefault="005A6C09">
      <w:pPr>
        <w:spacing w:after="0"/>
      </w:pPr>
    </w:p>
    <w:p w14:paraId="06B4D6EA" w14:textId="77777777" w:rsidR="005A6C09" w:rsidRDefault="00000000">
      <w:r>
        <w:t>Na kraju izvještajnog razdoblja dospjele obveze iznose 4.420,12 EUR. Navedeni iznos odnosi se na obvezu naknade za uređenje voda prema Hrvatskim vodama, odnosno na dugovanja obveznika za naknadu za uređenje voda koja se odnose na razdoblja do 2025. godine. Sukladno promjenama u načinu naplate, od 2025. godine poslove obračuna i naplate naknade za uređenje voda obavljaju Hrvatske vode, dok se iskazane dospjele obveze odnose isključivo na potraživanja i obveze iz ranijih razdoblja.</w:t>
      </w:r>
    </w:p>
    <w:p w14:paraId="62A5833B" w14:textId="77777777" w:rsidR="005A6C09" w:rsidRDefault="005A6C09"/>
    <w:p w14:paraId="02A85F6E" w14:textId="77777777" w:rsidR="005A6C09"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A6C09" w14:paraId="01E915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61AF25"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88CA0E"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C3AA0"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21E72A" w14:textId="77777777" w:rsidR="005A6C0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FAE0455" w14:textId="77777777" w:rsidR="005A6C09" w:rsidRDefault="00000000">
            <w:pPr>
              <w:keepNext/>
              <w:keepLines/>
              <w:spacing w:after="0" w:line="240" w:lineRule="auto"/>
              <w:jc w:val="center"/>
            </w:pPr>
            <w:r>
              <w:rPr>
                <w:b/>
                <w:sz w:val="18"/>
              </w:rPr>
              <w:t>Indeks (%)</w:t>
            </w:r>
          </w:p>
        </w:tc>
      </w:tr>
      <w:tr w:rsidR="005A6C09" w14:paraId="58896E9D" w14:textId="77777777">
        <w:tblPrEx>
          <w:tblCellMar>
            <w:top w:w="0" w:type="dxa"/>
            <w:bottom w:w="0" w:type="dxa"/>
          </w:tblCellMar>
        </w:tblPrEx>
        <w:trPr>
          <w:cantSplit/>
          <w:trHeight w:val="560"/>
        </w:trPr>
        <w:tc>
          <w:tcPr>
            <w:tcW w:w="700" w:type="dxa"/>
            <w:tcMar>
              <w:top w:w="0" w:type="dxa"/>
              <w:bottom w:w="0" w:type="dxa"/>
            </w:tcMar>
            <w:vAlign w:val="center"/>
          </w:tcPr>
          <w:p w14:paraId="65D9B4BE" w14:textId="77777777" w:rsidR="005A6C09" w:rsidRDefault="005A6C09">
            <w:pPr>
              <w:keepNext/>
              <w:keepLines/>
              <w:spacing w:after="0" w:line="240" w:lineRule="auto"/>
            </w:pPr>
          </w:p>
        </w:tc>
        <w:tc>
          <w:tcPr>
            <w:tcW w:w="3180" w:type="dxa"/>
            <w:tcMar>
              <w:top w:w="0" w:type="dxa"/>
              <w:bottom w:w="0" w:type="dxa"/>
            </w:tcMar>
            <w:vAlign w:val="center"/>
          </w:tcPr>
          <w:p w14:paraId="6BF7C420" w14:textId="77777777" w:rsidR="005A6C09" w:rsidRDefault="00000000">
            <w:pPr>
              <w:keepNext/>
              <w:keepLines/>
              <w:spacing w:after="0" w:line="240" w:lineRule="auto"/>
            </w:pPr>
            <w:r>
              <w:rPr>
                <w:sz w:val="18"/>
              </w:rPr>
              <w:t>d) Prekoračenje preko 360 dana</w:t>
            </w:r>
          </w:p>
        </w:tc>
        <w:tc>
          <w:tcPr>
            <w:tcW w:w="700" w:type="dxa"/>
            <w:tcMar>
              <w:top w:w="0" w:type="dxa"/>
              <w:bottom w:w="0" w:type="dxa"/>
            </w:tcMar>
            <w:vAlign w:val="center"/>
          </w:tcPr>
          <w:p w14:paraId="1B2BEE12" w14:textId="77777777" w:rsidR="005A6C09" w:rsidRDefault="00000000">
            <w:pPr>
              <w:keepNext/>
              <w:keepLines/>
              <w:spacing w:after="0" w:line="240" w:lineRule="auto"/>
            </w:pPr>
            <w:r>
              <w:rPr>
                <w:sz w:val="18"/>
              </w:rPr>
              <w:t>D239D</w:t>
            </w:r>
          </w:p>
        </w:tc>
        <w:tc>
          <w:tcPr>
            <w:tcW w:w="1860" w:type="dxa"/>
            <w:tcMar>
              <w:top w:w="0" w:type="dxa"/>
              <w:bottom w:w="0" w:type="dxa"/>
            </w:tcMar>
            <w:vAlign w:val="center"/>
          </w:tcPr>
          <w:p w14:paraId="7F58F87C" w14:textId="77777777" w:rsidR="005A6C09" w:rsidRDefault="00000000">
            <w:pPr>
              <w:keepNext/>
              <w:keepLines/>
              <w:spacing w:after="0" w:line="240" w:lineRule="auto"/>
              <w:jc w:val="right"/>
            </w:pPr>
            <w:r>
              <w:rPr>
                <w:sz w:val="18"/>
              </w:rPr>
              <w:t>4.420,12</w:t>
            </w:r>
          </w:p>
        </w:tc>
        <w:tc>
          <w:tcPr>
            <w:tcW w:w="700" w:type="dxa"/>
            <w:tcMar>
              <w:top w:w="0" w:type="dxa"/>
              <w:bottom w:w="0" w:type="dxa"/>
            </w:tcMar>
            <w:vAlign w:val="center"/>
          </w:tcPr>
          <w:p w14:paraId="1341A5FC" w14:textId="77777777" w:rsidR="005A6C09" w:rsidRDefault="00000000">
            <w:pPr>
              <w:keepNext/>
              <w:keepLines/>
              <w:spacing w:after="0" w:line="240" w:lineRule="auto"/>
              <w:jc w:val="right"/>
            </w:pPr>
            <w:r>
              <w:rPr>
                <w:sz w:val="18"/>
              </w:rPr>
              <w:t>-</w:t>
            </w:r>
          </w:p>
        </w:tc>
      </w:tr>
    </w:tbl>
    <w:p w14:paraId="2B657479" w14:textId="77777777" w:rsidR="005A6C09" w:rsidRDefault="005A6C09">
      <w:pPr>
        <w:spacing w:after="0"/>
      </w:pPr>
    </w:p>
    <w:p w14:paraId="6E320DF6" w14:textId="77777777" w:rsidR="005A6C09" w:rsidRDefault="00000000">
      <w:r>
        <w:t>Dugovanje naknade za uređenje voda do 2025. godine</w:t>
      </w:r>
    </w:p>
    <w:p w14:paraId="114E8590" w14:textId="77777777" w:rsidR="005A6C09" w:rsidRDefault="005A6C09"/>
    <w:p w14:paraId="0C66AE12" w14:textId="77777777" w:rsidR="005A6C09"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A6C09" w14:paraId="21F33F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30AA53"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031E6D"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B30121"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3F3E68" w14:textId="77777777" w:rsidR="005A6C0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549F972" w14:textId="77777777" w:rsidR="005A6C09" w:rsidRDefault="00000000">
            <w:pPr>
              <w:keepNext/>
              <w:keepLines/>
              <w:spacing w:after="0" w:line="240" w:lineRule="auto"/>
              <w:jc w:val="center"/>
            </w:pPr>
            <w:r>
              <w:rPr>
                <w:b/>
                <w:sz w:val="18"/>
              </w:rPr>
              <w:t>Indeks (%)</w:t>
            </w:r>
          </w:p>
        </w:tc>
      </w:tr>
      <w:tr w:rsidR="005A6C09" w14:paraId="766CD786" w14:textId="77777777">
        <w:tblPrEx>
          <w:tblCellMar>
            <w:top w:w="0" w:type="dxa"/>
            <w:bottom w:w="0" w:type="dxa"/>
          </w:tblCellMar>
        </w:tblPrEx>
        <w:trPr>
          <w:cantSplit/>
          <w:trHeight w:val="560"/>
        </w:trPr>
        <w:tc>
          <w:tcPr>
            <w:tcW w:w="700" w:type="dxa"/>
            <w:tcMar>
              <w:top w:w="0" w:type="dxa"/>
              <w:bottom w:w="0" w:type="dxa"/>
            </w:tcMar>
            <w:vAlign w:val="center"/>
          </w:tcPr>
          <w:p w14:paraId="0BE4E224" w14:textId="77777777" w:rsidR="005A6C09" w:rsidRDefault="005A6C09">
            <w:pPr>
              <w:keepNext/>
              <w:keepLines/>
              <w:spacing w:after="0" w:line="240" w:lineRule="auto"/>
            </w:pPr>
          </w:p>
        </w:tc>
        <w:tc>
          <w:tcPr>
            <w:tcW w:w="3180" w:type="dxa"/>
            <w:tcMar>
              <w:top w:w="0" w:type="dxa"/>
              <w:bottom w:w="0" w:type="dxa"/>
            </w:tcMar>
            <w:vAlign w:val="center"/>
          </w:tcPr>
          <w:p w14:paraId="66C43A0B" w14:textId="77777777" w:rsidR="005A6C09"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0F3B654" w14:textId="77777777" w:rsidR="005A6C09" w:rsidRDefault="00000000">
            <w:pPr>
              <w:keepNext/>
              <w:keepLines/>
              <w:spacing w:after="0" w:line="240" w:lineRule="auto"/>
            </w:pPr>
            <w:r>
              <w:rPr>
                <w:sz w:val="18"/>
              </w:rPr>
              <w:t>V009</w:t>
            </w:r>
          </w:p>
        </w:tc>
        <w:tc>
          <w:tcPr>
            <w:tcW w:w="1860" w:type="dxa"/>
            <w:tcMar>
              <w:top w:w="0" w:type="dxa"/>
              <w:bottom w:w="0" w:type="dxa"/>
            </w:tcMar>
            <w:vAlign w:val="center"/>
          </w:tcPr>
          <w:p w14:paraId="70A6716E" w14:textId="77777777" w:rsidR="005A6C09" w:rsidRDefault="00000000">
            <w:pPr>
              <w:keepNext/>
              <w:keepLines/>
              <w:spacing w:after="0" w:line="240" w:lineRule="auto"/>
              <w:jc w:val="right"/>
            </w:pPr>
            <w:r>
              <w:rPr>
                <w:sz w:val="18"/>
              </w:rPr>
              <w:t>78.000,62</w:t>
            </w:r>
          </w:p>
        </w:tc>
        <w:tc>
          <w:tcPr>
            <w:tcW w:w="700" w:type="dxa"/>
            <w:tcMar>
              <w:top w:w="0" w:type="dxa"/>
              <w:bottom w:w="0" w:type="dxa"/>
            </w:tcMar>
            <w:vAlign w:val="center"/>
          </w:tcPr>
          <w:p w14:paraId="3C5A7CA7" w14:textId="77777777" w:rsidR="005A6C09" w:rsidRDefault="00000000">
            <w:pPr>
              <w:keepNext/>
              <w:keepLines/>
              <w:spacing w:after="0" w:line="240" w:lineRule="auto"/>
              <w:jc w:val="right"/>
            </w:pPr>
            <w:r>
              <w:rPr>
                <w:sz w:val="18"/>
              </w:rPr>
              <w:t>-</w:t>
            </w:r>
          </w:p>
        </w:tc>
      </w:tr>
    </w:tbl>
    <w:p w14:paraId="48952D1C" w14:textId="77777777" w:rsidR="005A6C09" w:rsidRDefault="005A6C09">
      <w:pPr>
        <w:spacing w:after="0"/>
      </w:pPr>
    </w:p>
    <w:p w14:paraId="1DF067B6" w14:textId="77777777" w:rsidR="005A6C09" w:rsidRDefault="00000000">
      <w:r>
        <w:t>Stanje nedospjelih obveza na kraju izvještajnog razdoblja iznosi 78.000,62 EUR. Navedene obveze odnose se na redovno poslovanje te do kraja izvještajnog razdoblja nisu dospjele na plaćanje.</w:t>
      </w:r>
    </w:p>
    <w:p w14:paraId="2AC7711C" w14:textId="77777777" w:rsidR="005A6C09" w:rsidRDefault="00000000">
      <w:r>
        <w:t>Nedospjele obveze najvećim dijelom odnose se na obvezu za plaću zaposlenika za lipanj 2026. godine u iznosu od 13.446,11 EUR, obvezu za korištenje službenog automobila i putne troškove za lipanj 2026. godine u iznosu od 621,08 EUR, naknadu predsjednici Vijeća za lipanj 2026. godine u iznosu od 148,62 EUR, obveze za kamate iz poslovnih odnosa u iznosu od 11.700,00 EUR, međusobne obveze subjekata općeg proračuna u iznosu od 17.729,33 EUR, koje proizlaze iz poslovanja putem sustava riznice, prekoračenje po poslovnom računu u iznosu od 31.248,27 EUR te obveze prema dobavljačima u iznosu od 3.107,21 EUR.</w:t>
      </w:r>
    </w:p>
    <w:p w14:paraId="404AF74B" w14:textId="77777777" w:rsidR="005A6C09" w:rsidRDefault="00000000">
      <w:r>
        <w:t>Sve iskazane nedospjele obveze predstavljaju redovne obveze iz poslovanja koje će biti podmirene u rokovima njihova dospijeća.</w:t>
      </w:r>
    </w:p>
    <w:p w14:paraId="16FDD3F6" w14:textId="77777777" w:rsidR="005A6C09" w:rsidRDefault="005A6C09"/>
    <w:p w14:paraId="22B9446F" w14:textId="77777777" w:rsidR="005A6C09"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A6C09" w14:paraId="761F16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83156A"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D95B1A"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88B4E3"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02407" w14:textId="77777777" w:rsidR="005A6C0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7C33041" w14:textId="77777777" w:rsidR="005A6C09" w:rsidRDefault="00000000">
            <w:pPr>
              <w:keepNext/>
              <w:keepLines/>
              <w:spacing w:after="0" w:line="240" w:lineRule="auto"/>
              <w:jc w:val="center"/>
            </w:pPr>
            <w:r>
              <w:rPr>
                <w:b/>
                <w:sz w:val="18"/>
              </w:rPr>
              <w:t>Indeks (%)</w:t>
            </w:r>
          </w:p>
        </w:tc>
      </w:tr>
      <w:tr w:rsidR="005A6C09" w14:paraId="4C31A3FC" w14:textId="77777777">
        <w:tblPrEx>
          <w:tblCellMar>
            <w:top w:w="0" w:type="dxa"/>
            <w:bottom w:w="0" w:type="dxa"/>
          </w:tblCellMar>
        </w:tblPrEx>
        <w:trPr>
          <w:cantSplit/>
          <w:trHeight w:val="560"/>
        </w:trPr>
        <w:tc>
          <w:tcPr>
            <w:tcW w:w="700" w:type="dxa"/>
            <w:tcMar>
              <w:top w:w="0" w:type="dxa"/>
              <w:bottom w:w="0" w:type="dxa"/>
            </w:tcMar>
            <w:vAlign w:val="center"/>
          </w:tcPr>
          <w:p w14:paraId="21ACA4F3" w14:textId="77777777" w:rsidR="005A6C09" w:rsidRDefault="005A6C09">
            <w:pPr>
              <w:keepNext/>
              <w:keepLines/>
              <w:spacing w:after="0" w:line="240" w:lineRule="auto"/>
            </w:pPr>
          </w:p>
        </w:tc>
        <w:tc>
          <w:tcPr>
            <w:tcW w:w="3180" w:type="dxa"/>
            <w:tcMar>
              <w:top w:w="0" w:type="dxa"/>
              <w:bottom w:w="0" w:type="dxa"/>
            </w:tcMar>
            <w:vAlign w:val="center"/>
          </w:tcPr>
          <w:p w14:paraId="7740C53B" w14:textId="77777777" w:rsidR="005A6C09"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0ADB692A" w14:textId="77777777" w:rsidR="005A6C09" w:rsidRDefault="00000000">
            <w:pPr>
              <w:keepNext/>
              <w:keepLines/>
              <w:spacing w:after="0" w:line="240" w:lineRule="auto"/>
            </w:pPr>
            <w:r>
              <w:rPr>
                <w:sz w:val="18"/>
              </w:rPr>
              <w:t>V010</w:t>
            </w:r>
          </w:p>
        </w:tc>
        <w:tc>
          <w:tcPr>
            <w:tcW w:w="1860" w:type="dxa"/>
            <w:tcMar>
              <w:top w:w="0" w:type="dxa"/>
              <w:bottom w:w="0" w:type="dxa"/>
            </w:tcMar>
            <w:vAlign w:val="center"/>
          </w:tcPr>
          <w:p w14:paraId="1E5E2622" w14:textId="77777777" w:rsidR="005A6C09" w:rsidRDefault="00000000">
            <w:pPr>
              <w:keepNext/>
              <w:keepLines/>
              <w:spacing w:after="0" w:line="240" w:lineRule="auto"/>
              <w:jc w:val="right"/>
            </w:pPr>
            <w:r>
              <w:rPr>
                <w:sz w:val="18"/>
              </w:rPr>
              <w:t>17.729,33</w:t>
            </w:r>
          </w:p>
        </w:tc>
        <w:tc>
          <w:tcPr>
            <w:tcW w:w="700" w:type="dxa"/>
            <w:tcMar>
              <w:top w:w="0" w:type="dxa"/>
              <w:bottom w:w="0" w:type="dxa"/>
            </w:tcMar>
            <w:vAlign w:val="center"/>
          </w:tcPr>
          <w:p w14:paraId="1CE9B0D5" w14:textId="77777777" w:rsidR="005A6C09" w:rsidRDefault="00000000">
            <w:pPr>
              <w:keepNext/>
              <w:keepLines/>
              <w:spacing w:after="0" w:line="240" w:lineRule="auto"/>
              <w:jc w:val="right"/>
            </w:pPr>
            <w:r>
              <w:rPr>
                <w:sz w:val="18"/>
              </w:rPr>
              <w:t>-</w:t>
            </w:r>
          </w:p>
        </w:tc>
      </w:tr>
    </w:tbl>
    <w:p w14:paraId="276CD4C3" w14:textId="77777777" w:rsidR="005A6C09" w:rsidRDefault="005A6C09">
      <w:pPr>
        <w:spacing w:after="0"/>
      </w:pPr>
    </w:p>
    <w:p w14:paraId="152B0AFE" w14:textId="77777777" w:rsidR="005A6C09" w:rsidRDefault="00000000">
      <w:r>
        <w:t>Na kraju izvještajnog razdoblja međusobne obveze subjekata općeg proračuna iznose 17.729,33 EUR. Navedeni iznos odnosi se na sredstva proračunskog korisnika koja se vode u sustavu rizničnog poslovanja. Budući da se poslovanje obavlja putem jedinstvenog računa riznice, iskazana je međusobna obveza između proračunskog korisnika i nadležnog proračuna koja proizlazi iz načina evidentiranja novčanih sredstava u rizničnom sustavu. Ne radi se o dospjelim neplaćenim obvezama prema vanjskim vjerovnicima, već o međusobnim odnosima unutar sustava općeg proračuna.</w:t>
      </w:r>
    </w:p>
    <w:p w14:paraId="2F51770F" w14:textId="77777777" w:rsidR="005A6C09" w:rsidRDefault="005A6C09"/>
    <w:p w14:paraId="63514A8C" w14:textId="77777777" w:rsidR="005A6C09"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A6C09" w14:paraId="3528CF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A5BD5E" w14:textId="77777777" w:rsidR="005A6C0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5E9731" w14:textId="77777777" w:rsidR="005A6C0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AF6B0" w14:textId="77777777" w:rsidR="005A6C0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368725" w14:textId="77777777" w:rsidR="005A6C0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9EB5BAD" w14:textId="77777777" w:rsidR="005A6C09" w:rsidRDefault="00000000">
            <w:pPr>
              <w:keepNext/>
              <w:keepLines/>
              <w:spacing w:after="0" w:line="240" w:lineRule="auto"/>
              <w:jc w:val="center"/>
            </w:pPr>
            <w:r>
              <w:rPr>
                <w:b/>
                <w:sz w:val="18"/>
              </w:rPr>
              <w:t>Indeks (%)</w:t>
            </w:r>
          </w:p>
        </w:tc>
      </w:tr>
      <w:tr w:rsidR="005A6C09" w14:paraId="6F5C29A9" w14:textId="77777777">
        <w:tblPrEx>
          <w:tblCellMar>
            <w:top w:w="0" w:type="dxa"/>
            <w:bottom w:w="0" w:type="dxa"/>
          </w:tblCellMar>
        </w:tblPrEx>
        <w:trPr>
          <w:cantSplit/>
          <w:trHeight w:val="560"/>
        </w:trPr>
        <w:tc>
          <w:tcPr>
            <w:tcW w:w="700" w:type="dxa"/>
            <w:tcMar>
              <w:top w:w="0" w:type="dxa"/>
              <w:bottom w:w="0" w:type="dxa"/>
            </w:tcMar>
            <w:vAlign w:val="center"/>
          </w:tcPr>
          <w:p w14:paraId="79A91D78" w14:textId="77777777" w:rsidR="005A6C09" w:rsidRDefault="00000000">
            <w:pPr>
              <w:keepNext/>
              <w:keepLines/>
              <w:spacing w:after="0" w:line="240" w:lineRule="auto"/>
            </w:pPr>
            <w:r>
              <w:rPr>
                <w:sz w:val="18"/>
              </w:rPr>
              <w:t>dio 25,26</w:t>
            </w:r>
          </w:p>
        </w:tc>
        <w:tc>
          <w:tcPr>
            <w:tcW w:w="3180" w:type="dxa"/>
            <w:tcMar>
              <w:top w:w="0" w:type="dxa"/>
              <w:bottom w:w="0" w:type="dxa"/>
            </w:tcMar>
            <w:vAlign w:val="center"/>
          </w:tcPr>
          <w:p w14:paraId="67DC853E" w14:textId="77777777" w:rsidR="005A6C09"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11F09715" w14:textId="77777777" w:rsidR="005A6C09" w:rsidRDefault="00000000">
            <w:pPr>
              <w:keepNext/>
              <w:keepLines/>
              <w:spacing w:after="0" w:line="240" w:lineRule="auto"/>
            </w:pPr>
            <w:r>
              <w:rPr>
                <w:sz w:val="18"/>
              </w:rPr>
              <w:t>ND dio 25,26</w:t>
            </w:r>
          </w:p>
        </w:tc>
        <w:tc>
          <w:tcPr>
            <w:tcW w:w="1860" w:type="dxa"/>
            <w:tcMar>
              <w:top w:w="0" w:type="dxa"/>
              <w:bottom w:w="0" w:type="dxa"/>
            </w:tcMar>
            <w:vAlign w:val="center"/>
          </w:tcPr>
          <w:p w14:paraId="55E0C842" w14:textId="77777777" w:rsidR="005A6C09" w:rsidRDefault="00000000">
            <w:pPr>
              <w:keepNext/>
              <w:keepLines/>
              <w:spacing w:after="0" w:line="240" w:lineRule="auto"/>
              <w:jc w:val="right"/>
            </w:pPr>
            <w:r>
              <w:rPr>
                <w:sz w:val="18"/>
              </w:rPr>
              <w:t>31.248,27</w:t>
            </w:r>
          </w:p>
        </w:tc>
        <w:tc>
          <w:tcPr>
            <w:tcW w:w="700" w:type="dxa"/>
            <w:tcMar>
              <w:top w:w="0" w:type="dxa"/>
              <w:bottom w:w="0" w:type="dxa"/>
            </w:tcMar>
            <w:vAlign w:val="center"/>
          </w:tcPr>
          <w:p w14:paraId="2B6F7EB1" w14:textId="77777777" w:rsidR="005A6C09" w:rsidRDefault="00000000">
            <w:pPr>
              <w:keepNext/>
              <w:keepLines/>
              <w:spacing w:after="0" w:line="240" w:lineRule="auto"/>
              <w:jc w:val="right"/>
            </w:pPr>
            <w:r>
              <w:rPr>
                <w:sz w:val="18"/>
              </w:rPr>
              <w:t>-</w:t>
            </w:r>
          </w:p>
        </w:tc>
      </w:tr>
    </w:tbl>
    <w:p w14:paraId="3DB71EAC" w14:textId="77777777" w:rsidR="005A6C09" w:rsidRDefault="005A6C09">
      <w:pPr>
        <w:spacing w:after="0"/>
      </w:pPr>
    </w:p>
    <w:p w14:paraId="35208414" w14:textId="77777777" w:rsidR="005A6C09" w:rsidRDefault="00000000">
      <w:r>
        <w:t>Na kraju izvještajnog razdoblja u okviru obveza za financijsku imovinu iskazan je iznos od 31.248,27 EUR, koji se odnosi na iskorišteni dio odobrenog dopuštenog prekoračenja po poslovnom računu. Općina je tijekom 2025. godine odobreno dopušteno prekoračenje u iznosu od 200.000,00 EUR s rokom korištenja od jedne godine. Iskazani iznos predstavlja stanje iskorištenog prekoračenja na dan izvještavanja te se evidentira kao kratkoročna obveza za financijsku imovinu.</w:t>
      </w:r>
    </w:p>
    <w:p w14:paraId="3B77B3B4" w14:textId="77777777" w:rsidR="005A6C09" w:rsidRDefault="005A6C09"/>
    <w:sectPr w:rsidR="005A6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9"/>
    <w:rsid w:val="005A6C09"/>
    <w:rsid w:val="006A0370"/>
    <w:rsid w:val="00826E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2C65"/>
  <w15:docId w15:val="{189AEBB7-067B-4E6C-8883-6DB94AF8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3723</Words>
  <Characters>21226</Characters>
  <Application>Microsoft Office Word</Application>
  <DocSecurity>0</DocSecurity>
  <Lines>176</Lines>
  <Paragraphs>49</Paragraphs>
  <ScaleCrop>false</ScaleCrop>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dc:creator>
  <cp:lastModifiedBy>opcina vratisinec</cp:lastModifiedBy>
  <cp:revision>2</cp:revision>
  <dcterms:created xsi:type="dcterms:W3CDTF">2026-07-14T06:53:00Z</dcterms:created>
  <dcterms:modified xsi:type="dcterms:W3CDTF">2026-07-14T06:53:00Z</dcterms:modified>
</cp:coreProperties>
</file>